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51441">
      <w:pPr>
        <w:spacing w:line="312" w:lineRule="auto"/>
        <w:jc w:val="center"/>
        <w:rPr>
          <w:rFonts w:hint="eastAsia" w:ascii="宋体" w:hAnsi="宋体"/>
          <w:b/>
          <w:color w:val="auto"/>
          <w:sz w:val="84"/>
          <w:szCs w:val="84"/>
          <w:highlight w:val="none"/>
        </w:rPr>
      </w:pPr>
      <w:r>
        <w:rPr>
          <w:rFonts w:hint="eastAsia" w:ascii="新宋体" w:hAnsi="新宋体" w:eastAsia="新宋体"/>
          <w:b/>
          <w:color w:val="auto"/>
          <w:sz w:val="44"/>
          <w:szCs w:val="44"/>
          <w:highlight w:val="none"/>
          <w:lang w:eastAsia="zh-CN"/>
        </w:rPr>
        <w:t>定远县城乡水务投资建设有限公司2024年哈夫节采购项目</w:t>
      </w:r>
    </w:p>
    <w:p w14:paraId="1C895590">
      <w:pPr>
        <w:spacing w:line="312" w:lineRule="auto"/>
        <w:jc w:val="center"/>
        <w:rPr>
          <w:rFonts w:hint="eastAsia" w:ascii="宋体" w:hAnsi="宋体"/>
          <w:b/>
          <w:color w:val="auto"/>
          <w:sz w:val="84"/>
          <w:szCs w:val="84"/>
          <w:highlight w:val="none"/>
        </w:rPr>
      </w:pPr>
    </w:p>
    <w:p w14:paraId="3F4E4ADA">
      <w:pPr>
        <w:pStyle w:val="2"/>
        <w:rPr>
          <w:rFonts w:hint="eastAsia"/>
          <w:color w:val="auto"/>
          <w:highlight w:val="none"/>
        </w:rPr>
      </w:pPr>
    </w:p>
    <w:p w14:paraId="37A402FA">
      <w:pPr>
        <w:spacing w:line="312" w:lineRule="auto"/>
        <w:jc w:val="center"/>
        <w:rPr>
          <w:rFonts w:ascii="宋体" w:hAnsi="宋体"/>
          <w:b/>
          <w:color w:val="auto"/>
          <w:sz w:val="84"/>
          <w:szCs w:val="84"/>
          <w:highlight w:val="none"/>
        </w:rPr>
      </w:pPr>
      <w:r>
        <w:rPr>
          <w:rFonts w:hint="eastAsia" w:ascii="宋体" w:hAnsi="宋体"/>
          <w:b/>
          <w:color w:val="auto"/>
          <w:sz w:val="84"/>
          <w:szCs w:val="84"/>
          <w:highlight w:val="none"/>
        </w:rPr>
        <w:t>招 标 文 件</w:t>
      </w:r>
    </w:p>
    <w:p w14:paraId="7B5DAB15">
      <w:pPr>
        <w:spacing w:after="156" w:afterLines="50"/>
        <w:ind w:left="-850" w:leftChars="-405" w:right="-625"/>
        <w:jc w:val="center"/>
        <w:rPr>
          <w:rFonts w:hint="eastAsia" w:ascii="宋体" w:hAnsi="宋体"/>
          <w:color w:val="auto"/>
          <w:sz w:val="40"/>
          <w:szCs w:val="36"/>
          <w:highlight w:val="none"/>
        </w:rPr>
      </w:pPr>
    </w:p>
    <w:p w14:paraId="59974F59">
      <w:pPr>
        <w:spacing w:after="156" w:afterLines="50"/>
        <w:ind w:left="-850" w:leftChars="-405" w:right="-625"/>
        <w:jc w:val="center"/>
        <w:rPr>
          <w:rFonts w:hint="eastAsia" w:ascii="宋体" w:hAnsi="宋体"/>
          <w:color w:val="auto"/>
          <w:sz w:val="40"/>
          <w:szCs w:val="36"/>
          <w:highlight w:val="none"/>
        </w:rPr>
      </w:pPr>
      <w:r>
        <w:rPr>
          <w:rFonts w:hint="eastAsia" w:ascii="宋体" w:hAnsi="宋体"/>
          <w:color w:val="auto"/>
          <w:sz w:val="40"/>
          <w:szCs w:val="36"/>
          <w:highlight w:val="none"/>
        </w:rPr>
        <w:t>（电子招标投标）</w:t>
      </w:r>
    </w:p>
    <w:p w14:paraId="06CC5290">
      <w:pPr>
        <w:pStyle w:val="2"/>
        <w:ind w:left="0" w:leftChars="0" w:firstLine="2400" w:firstLineChars="1000"/>
        <w:rPr>
          <w:rFonts w:hint="eastAsia"/>
          <w:color w:val="auto"/>
          <w:sz w:val="24"/>
          <w:highlight w:val="none"/>
        </w:rPr>
      </w:pPr>
    </w:p>
    <w:p w14:paraId="2DA83ECB">
      <w:pPr>
        <w:pStyle w:val="2"/>
        <w:ind w:left="0" w:leftChars="0" w:firstLine="2880" w:firstLineChars="1200"/>
        <w:rPr>
          <w:rFonts w:hint="default" w:eastAsia="宋体"/>
          <w:color w:val="auto"/>
          <w:highlight w:val="none"/>
          <w:lang w:val="en-US" w:eastAsia="zh-CN"/>
        </w:rPr>
      </w:pPr>
      <w:r>
        <w:rPr>
          <w:rFonts w:hint="eastAsia"/>
          <w:color w:val="auto"/>
          <w:sz w:val="24"/>
          <w:highlight w:val="none"/>
        </w:rPr>
        <w:t>项目编号：</w:t>
      </w:r>
      <w:r>
        <w:rPr>
          <w:rFonts w:hint="eastAsia"/>
          <w:color w:val="auto"/>
          <w:sz w:val="24"/>
          <w:highlight w:val="none"/>
          <w:lang w:eastAsia="zh-CN"/>
        </w:rPr>
        <w:t>czdyqt202</w:t>
      </w:r>
      <w:r>
        <w:rPr>
          <w:rFonts w:hint="eastAsia"/>
          <w:color w:val="auto"/>
          <w:sz w:val="24"/>
          <w:highlight w:val="none"/>
          <w:lang w:val="en-US" w:eastAsia="zh-CN"/>
        </w:rPr>
        <w:t>407-004</w:t>
      </w:r>
    </w:p>
    <w:p w14:paraId="6EB2B609">
      <w:pPr>
        <w:rPr>
          <w:rFonts w:hint="eastAsia" w:ascii="宋体"/>
          <w:bCs/>
          <w:color w:val="auto"/>
          <w:szCs w:val="21"/>
          <w:highlight w:val="none"/>
        </w:rPr>
      </w:pPr>
    </w:p>
    <w:p w14:paraId="0A4A7B48">
      <w:pPr>
        <w:pStyle w:val="12"/>
        <w:rPr>
          <w:rFonts w:hint="eastAsia" w:ascii="宋体"/>
          <w:bCs/>
          <w:color w:val="auto"/>
          <w:szCs w:val="21"/>
          <w:highlight w:val="none"/>
        </w:rPr>
      </w:pPr>
    </w:p>
    <w:p w14:paraId="420BDECE">
      <w:pPr>
        <w:pStyle w:val="11"/>
        <w:rPr>
          <w:rFonts w:hint="eastAsia"/>
          <w:bCs/>
          <w:color w:val="auto"/>
          <w:szCs w:val="21"/>
          <w:highlight w:val="none"/>
        </w:rPr>
      </w:pPr>
    </w:p>
    <w:p w14:paraId="3DD66279">
      <w:pPr>
        <w:rPr>
          <w:rFonts w:hint="eastAsia" w:ascii="宋体"/>
          <w:bCs/>
          <w:color w:val="auto"/>
          <w:szCs w:val="21"/>
          <w:highlight w:val="none"/>
        </w:rPr>
      </w:pPr>
    </w:p>
    <w:p w14:paraId="116E0A95">
      <w:pPr>
        <w:pStyle w:val="12"/>
        <w:rPr>
          <w:rFonts w:hint="eastAsia" w:ascii="宋体"/>
          <w:bCs/>
          <w:color w:val="auto"/>
          <w:szCs w:val="21"/>
          <w:highlight w:val="none"/>
        </w:rPr>
      </w:pPr>
    </w:p>
    <w:p w14:paraId="22005D35">
      <w:pPr>
        <w:rPr>
          <w:rFonts w:hint="eastAsia" w:ascii="宋体"/>
          <w:bCs/>
          <w:color w:val="auto"/>
          <w:szCs w:val="21"/>
          <w:highlight w:val="none"/>
        </w:rPr>
      </w:pPr>
    </w:p>
    <w:p w14:paraId="490D75B4">
      <w:pPr>
        <w:pStyle w:val="12"/>
        <w:rPr>
          <w:rFonts w:hint="eastAsia" w:ascii="宋体"/>
          <w:bCs/>
          <w:color w:val="auto"/>
          <w:szCs w:val="21"/>
          <w:highlight w:val="none"/>
        </w:rPr>
      </w:pPr>
    </w:p>
    <w:p w14:paraId="3E1509E5">
      <w:pPr>
        <w:pStyle w:val="11"/>
        <w:rPr>
          <w:rFonts w:hint="eastAsia"/>
          <w:bCs/>
          <w:color w:val="auto"/>
          <w:szCs w:val="21"/>
          <w:highlight w:val="none"/>
        </w:rPr>
      </w:pPr>
    </w:p>
    <w:p w14:paraId="7E230B4F">
      <w:pPr>
        <w:rPr>
          <w:rFonts w:hint="eastAsia" w:ascii="宋体"/>
          <w:bCs/>
          <w:color w:val="auto"/>
          <w:szCs w:val="21"/>
          <w:highlight w:val="none"/>
        </w:rPr>
      </w:pPr>
    </w:p>
    <w:p w14:paraId="60E3218B">
      <w:pPr>
        <w:pStyle w:val="12"/>
        <w:rPr>
          <w:rFonts w:hint="eastAsia"/>
          <w:color w:val="auto"/>
          <w:highlight w:val="none"/>
        </w:rPr>
      </w:pPr>
    </w:p>
    <w:p w14:paraId="6F16A1F9">
      <w:pPr>
        <w:rPr>
          <w:rFonts w:hint="eastAsia" w:ascii="宋体"/>
          <w:bCs/>
          <w:color w:val="auto"/>
          <w:szCs w:val="21"/>
          <w:highlight w:val="none"/>
        </w:rPr>
      </w:pPr>
    </w:p>
    <w:p w14:paraId="5ECD8135">
      <w:pPr>
        <w:rPr>
          <w:rFonts w:hint="eastAsia"/>
          <w:color w:val="auto"/>
          <w:highlight w:val="none"/>
        </w:rPr>
      </w:pPr>
    </w:p>
    <w:p w14:paraId="7771B073">
      <w:pPr>
        <w:spacing w:before="312" w:beforeLines="100" w:after="312" w:afterLines="100"/>
        <w:jc w:val="left"/>
        <w:rPr>
          <w:rFonts w:hint="eastAsia" w:ascii="宋体"/>
          <w:b/>
          <w:color w:val="auto"/>
          <w:sz w:val="32"/>
          <w:szCs w:val="32"/>
          <w:highlight w:val="none"/>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single"/>
        </w:rPr>
        <w:t xml:space="preserve"> </w:t>
      </w:r>
      <w:r>
        <w:rPr>
          <w:rFonts w:hint="eastAsia"/>
          <w:b/>
          <w:bCs/>
          <w:color w:val="auto"/>
          <w:sz w:val="30"/>
          <w:szCs w:val="30"/>
          <w:highlight w:val="none"/>
          <w:u w:val="single"/>
          <w:lang w:eastAsia="zh-CN"/>
        </w:rPr>
        <w:t>定远县城乡水务投资建设有限公司</w:t>
      </w:r>
      <w:r>
        <w:rPr>
          <w:rFonts w:hint="eastAsia" w:ascii="宋体"/>
          <w:b/>
          <w:color w:val="auto"/>
          <w:sz w:val="32"/>
          <w:szCs w:val="32"/>
          <w:highlight w:val="none"/>
          <w:u w:val="single"/>
        </w:rPr>
        <w:t xml:space="preserve"> </w:t>
      </w:r>
      <w:r>
        <w:rPr>
          <w:rFonts w:hint="eastAsia" w:ascii="宋体"/>
          <w:b/>
          <w:color w:val="auto"/>
          <w:sz w:val="32"/>
          <w:szCs w:val="32"/>
          <w:highlight w:val="none"/>
        </w:rPr>
        <w:t>（盖单位章）</w:t>
      </w:r>
    </w:p>
    <w:p w14:paraId="6ED4EBD5">
      <w:pPr>
        <w:spacing w:before="312" w:beforeLines="100" w:after="312" w:afterLines="100"/>
        <w:ind w:right="-586" w:rightChars="-279"/>
        <w:rPr>
          <w:rFonts w:hint="eastAsia" w:ascii="宋体"/>
          <w:b/>
          <w:color w:val="auto"/>
          <w:sz w:val="32"/>
          <w:szCs w:val="32"/>
          <w:highlight w:val="none"/>
          <w:u w:val="single"/>
        </w:rPr>
      </w:pPr>
      <w:r>
        <w:rPr>
          <w:rFonts w:hint="eastAsia" w:ascii="宋体"/>
          <w:b/>
          <w:color w:val="auto"/>
          <w:sz w:val="32"/>
          <w:szCs w:val="32"/>
          <w:highlight w:val="none"/>
          <w:lang w:val="en-US" w:eastAsia="zh-CN"/>
        </w:rPr>
        <w:t>招标</w:t>
      </w:r>
      <w:r>
        <w:rPr>
          <w:rFonts w:hint="eastAsia" w:ascii="宋体"/>
          <w:b/>
          <w:color w:val="auto"/>
          <w:sz w:val="32"/>
          <w:szCs w:val="32"/>
          <w:highlight w:val="none"/>
        </w:rPr>
        <w:t>代理机构：</w:t>
      </w:r>
      <w:r>
        <w:rPr>
          <w:rFonts w:hint="eastAsia" w:ascii="宋体"/>
          <w:b/>
          <w:color w:val="auto"/>
          <w:sz w:val="32"/>
          <w:szCs w:val="32"/>
          <w:highlight w:val="none"/>
          <w:u w:val="single"/>
          <w:lang w:eastAsia="zh-CN"/>
        </w:rPr>
        <w:t>定远县程锦规划勘察建筑设计院有限公司</w:t>
      </w:r>
      <w:r>
        <w:rPr>
          <w:rFonts w:hint="eastAsia" w:ascii="宋体"/>
          <w:b/>
          <w:color w:val="auto"/>
          <w:sz w:val="32"/>
          <w:szCs w:val="32"/>
          <w:highlight w:val="none"/>
        </w:rPr>
        <w:t>（盖单位章）</w:t>
      </w:r>
    </w:p>
    <w:p w14:paraId="55465E00">
      <w:pPr>
        <w:spacing w:before="312" w:beforeLines="100" w:after="312" w:afterLines="100"/>
        <w:jc w:val="center"/>
        <w:rPr>
          <w:rFonts w:hint="eastAsia" w:ascii="宋体"/>
          <w:b/>
          <w:color w:val="auto"/>
          <w:sz w:val="32"/>
          <w:szCs w:val="32"/>
          <w:highlight w:val="none"/>
        </w:rPr>
      </w:pPr>
      <w:r>
        <w:rPr>
          <w:rFonts w:hint="eastAsia" w:ascii="宋体"/>
          <w:b/>
          <w:color w:val="auto"/>
          <w:sz w:val="32"/>
          <w:szCs w:val="32"/>
          <w:highlight w:val="none"/>
          <w:u w:val="single"/>
          <w:lang w:val="en-US" w:eastAsia="zh-CN"/>
        </w:rPr>
        <w:t>2024</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7</w:t>
      </w:r>
      <w:r>
        <w:rPr>
          <w:rFonts w:hint="eastAsia" w:ascii="宋体"/>
          <w:b/>
          <w:color w:val="auto"/>
          <w:sz w:val="32"/>
          <w:szCs w:val="32"/>
          <w:highlight w:val="none"/>
        </w:rPr>
        <w:t>月</w:t>
      </w:r>
    </w:p>
    <w:p w14:paraId="5EA0F5A4">
      <w:pPr>
        <w:spacing w:line="360" w:lineRule="exact"/>
        <w:jc w:val="center"/>
        <w:rPr>
          <w:rFonts w:hint="eastAsia"/>
          <w:b/>
          <w:color w:val="auto"/>
          <w:sz w:val="36"/>
          <w:highlight w:val="none"/>
        </w:rPr>
        <w:sectPr>
          <w:headerReference r:id="rId3" w:type="default"/>
          <w:footerReference r:id="rId4" w:type="default"/>
          <w:pgSz w:w="11906" w:h="16838"/>
          <w:pgMar w:top="1440" w:right="1417" w:bottom="1417" w:left="1417" w:header="851" w:footer="992" w:gutter="0"/>
          <w:pgNumType w:fmt="decimal"/>
          <w:cols w:space="720" w:num="1"/>
          <w:docGrid w:type="lines" w:linePitch="312" w:charSpace="0"/>
        </w:sectPr>
      </w:pPr>
    </w:p>
    <w:p w14:paraId="5B9CD53E">
      <w:pPr>
        <w:spacing w:line="360" w:lineRule="exact"/>
        <w:jc w:val="center"/>
        <w:rPr>
          <w:rFonts w:hint="eastAsia"/>
          <w:color w:val="auto"/>
          <w:highlight w:val="none"/>
        </w:rPr>
      </w:pPr>
      <w:r>
        <w:rPr>
          <w:rFonts w:hint="eastAsia"/>
          <w:b/>
          <w:color w:val="auto"/>
          <w:sz w:val="36"/>
          <w:highlight w:val="none"/>
        </w:rPr>
        <w:t>目  录</w:t>
      </w:r>
    </w:p>
    <w:p w14:paraId="1683279F">
      <w:pPr>
        <w:pStyle w:val="18"/>
        <w:tabs>
          <w:tab w:val="right" w:leader="dot" w:pos="9072"/>
        </w:tabs>
        <w:spacing w:line="600" w:lineRule="exact"/>
        <w:rPr>
          <w:rFonts w:hint="eastAsia" w:ascii="宋体" w:hAnsi="宋体" w:cs="宋体"/>
          <w:b/>
          <w:bCs/>
          <w:color w:val="auto"/>
          <w:sz w:val="24"/>
          <w:highlight w:val="none"/>
        </w:rPr>
      </w:pPr>
    </w:p>
    <w:p w14:paraId="699B708C">
      <w:pPr>
        <w:pStyle w:val="18"/>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"1-3" \h \u </w:instrText>
      </w:r>
      <w:r>
        <w:rPr>
          <w:rFonts w:hint="eastAsia" w:ascii="宋体" w:hAnsi="宋体" w:cs="宋体"/>
          <w:b/>
          <w:bCs/>
          <w:color w:val="auto"/>
          <w:sz w:val="24"/>
          <w:highlight w:val="none"/>
        </w:rPr>
        <w:fldChar w:fldCharType="separate"/>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_Toc6782 </w:instrText>
      </w:r>
      <w:r>
        <w:rPr>
          <w:rFonts w:hint="eastAsia" w:ascii="宋体" w:hAnsi="宋体" w:cs="宋体"/>
          <w:b/>
          <w:bCs/>
          <w:color w:val="auto"/>
          <w:highlight w:val="none"/>
        </w:rPr>
        <w:fldChar w:fldCharType="separate"/>
      </w:r>
      <w:r>
        <w:rPr>
          <w:rFonts w:hint="eastAsia" w:ascii="宋体"/>
          <w:b/>
          <w:bCs/>
          <w:color w:val="auto"/>
          <w:szCs w:val="28"/>
          <w:highlight w:val="none"/>
          <w:lang w:val="en-US" w:eastAsia="zh-CN"/>
        </w:rPr>
        <w:t xml:space="preserve">第一章 </w:t>
      </w:r>
      <w:r>
        <w:rPr>
          <w:rFonts w:hint="eastAsia" w:ascii="宋体"/>
          <w:b/>
          <w:bCs/>
          <w:color w:val="auto"/>
          <w:szCs w:val="28"/>
          <w:highlight w:val="none"/>
        </w:rPr>
        <w:t>招标公告</w:t>
      </w:r>
      <w:r>
        <w:rPr>
          <w:b/>
          <w:bCs/>
          <w:color w:val="auto"/>
          <w:highlight w:val="none"/>
        </w:rPr>
        <w:tab/>
      </w:r>
      <w:r>
        <w:rPr>
          <w:b/>
          <w:bCs/>
          <w:color w:val="auto"/>
          <w:highlight w:val="none"/>
        </w:rPr>
        <w:fldChar w:fldCharType="begin"/>
      </w:r>
      <w:r>
        <w:rPr>
          <w:b/>
          <w:bCs/>
          <w:color w:val="auto"/>
          <w:highlight w:val="none"/>
        </w:rPr>
        <w:instrText xml:space="preserve"> PAGEREF _Toc6782 \h </w:instrText>
      </w:r>
      <w:r>
        <w:rPr>
          <w:b/>
          <w:bCs/>
          <w:color w:val="auto"/>
          <w:highlight w:val="none"/>
        </w:rPr>
        <w:fldChar w:fldCharType="separate"/>
      </w:r>
      <w:r>
        <w:rPr>
          <w:b/>
          <w:bCs/>
          <w:color w:val="auto"/>
          <w:highlight w:val="none"/>
        </w:rPr>
        <w:t>2</w:t>
      </w:r>
      <w:r>
        <w:rPr>
          <w:b/>
          <w:bCs/>
          <w:color w:val="auto"/>
          <w:highlight w:val="none"/>
        </w:rPr>
        <w:fldChar w:fldCharType="end"/>
      </w:r>
      <w:r>
        <w:rPr>
          <w:rFonts w:hint="eastAsia" w:ascii="宋体" w:hAnsi="宋体" w:cs="宋体"/>
          <w:b/>
          <w:bCs/>
          <w:color w:val="auto"/>
          <w:highlight w:val="none"/>
        </w:rPr>
        <w:fldChar w:fldCharType="end"/>
      </w:r>
    </w:p>
    <w:p w14:paraId="7ED2673E">
      <w:pPr>
        <w:pStyle w:val="18"/>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_Toc28656 </w:instrText>
      </w:r>
      <w:r>
        <w:rPr>
          <w:rFonts w:hint="eastAsia" w:ascii="宋体" w:hAnsi="宋体" w:cs="宋体"/>
          <w:b/>
          <w:bCs/>
          <w:color w:val="auto"/>
          <w:highlight w:val="none"/>
        </w:rPr>
        <w:fldChar w:fldCharType="separate"/>
      </w:r>
      <w:r>
        <w:rPr>
          <w:rFonts w:hint="eastAsia" w:ascii="宋体"/>
          <w:b/>
          <w:bCs/>
          <w:color w:val="auto"/>
          <w:szCs w:val="28"/>
          <w:highlight w:val="none"/>
          <w:lang w:val="en-US" w:eastAsia="zh-CN"/>
        </w:rPr>
        <w:t>第二章 投标人须知</w:t>
      </w:r>
      <w:r>
        <w:rPr>
          <w:b/>
          <w:bCs/>
          <w:color w:val="auto"/>
          <w:highlight w:val="none"/>
        </w:rPr>
        <w:tab/>
      </w:r>
      <w:r>
        <w:rPr>
          <w:b/>
          <w:bCs/>
          <w:color w:val="auto"/>
          <w:highlight w:val="none"/>
        </w:rPr>
        <w:fldChar w:fldCharType="begin"/>
      </w:r>
      <w:r>
        <w:rPr>
          <w:b/>
          <w:bCs/>
          <w:color w:val="auto"/>
          <w:highlight w:val="none"/>
        </w:rPr>
        <w:instrText xml:space="preserve"> PAGEREF _Toc28656 \h </w:instrText>
      </w:r>
      <w:r>
        <w:rPr>
          <w:b/>
          <w:bCs/>
          <w:color w:val="auto"/>
          <w:highlight w:val="none"/>
        </w:rPr>
        <w:fldChar w:fldCharType="separate"/>
      </w:r>
      <w:r>
        <w:rPr>
          <w:b/>
          <w:bCs/>
          <w:color w:val="auto"/>
          <w:highlight w:val="none"/>
        </w:rPr>
        <w:t>5</w:t>
      </w:r>
      <w:r>
        <w:rPr>
          <w:b/>
          <w:bCs/>
          <w:color w:val="auto"/>
          <w:highlight w:val="none"/>
        </w:rPr>
        <w:fldChar w:fldCharType="end"/>
      </w:r>
      <w:r>
        <w:rPr>
          <w:rFonts w:hint="eastAsia" w:ascii="宋体" w:hAnsi="宋体" w:cs="宋体"/>
          <w:b/>
          <w:bCs/>
          <w:color w:val="auto"/>
          <w:highlight w:val="none"/>
        </w:rPr>
        <w:fldChar w:fldCharType="end"/>
      </w:r>
    </w:p>
    <w:p w14:paraId="0CE8BD6D">
      <w:pPr>
        <w:pStyle w:val="20"/>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_Toc13133 </w:instrText>
      </w:r>
      <w:r>
        <w:rPr>
          <w:rFonts w:hint="eastAsia" w:ascii="宋体" w:hAnsi="宋体" w:cs="宋体"/>
          <w:b/>
          <w:bCs/>
          <w:color w:val="auto"/>
          <w:highlight w:val="none"/>
        </w:rPr>
        <w:fldChar w:fldCharType="separate"/>
      </w:r>
      <w:r>
        <w:rPr>
          <w:rFonts w:hint="eastAsia" w:ascii="宋体"/>
          <w:b/>
          <w:bCs/>
          <w:color w:val="auto"/>
          <w:highlight w:val="none"/>
        </w:rPr>
        <w:t>一、投标人须知前附表</w:t>
      </w:r>
      <w:r>
        <w:rPr>
          <w:b/>
          <w:bCs/>
          <w:color w:val="auto"/>
          <w:highlight w:val="none"/>
        </w:rPr>
        <w:tab/>
      </w:r>
      <w:r>
        <w:rPr>
          <w:b/>
          <w:bCs/>
          <w:color w:val="auto"/>
          <w:highlight w:val="none"/>
        </w:rPr>
        <w:fldChar w:fldCharType="begin"/>
      </w:r>
      <w:r>
        <w:rPr>
          <w:b/>
          <w:bCs/>
          <w:color w:val="auto"/>
          <w:highlight w:val="none"/>
        </w:rPr>
        <w:instrText xml:space="preserve"> PAGEREF _Toc13133 \h </w:instrText>
      </w:r>
      <w:r>
        <w:rPr>
          <w:b/>
          <w:bCs/>
          <w:color w:val="auto"/>
          <w:highlight w:val="none"/>
        </w:rPr>
        <w:fldChar w:fldCharType="separate"/>
      </w:r>
      <w:r>
        <w:rPr>
          <w:b/>
          <w:bCs/>
          <w:color w:val="auto"/>
          <w:highlight w:val="none"/>
        </w:rPr>
        <w:t>5</w:t>
      </w:r>
      <w:r>
        <w:rPr>
          <w:b/>
          <w:bCs/>
          <w:color w:val="auto"/>
          <w:highlight w:val="none"/>
        </w:rPr>
        <w:fldChar w:fldCharType="end"/>
      </w:r>
      <w:r>
        <w:rPr>
          <w:rFonts w:hint="eastAsia" w:ascii="宋体" w:hAnsi="宋体" w:cs="宋体"/>
          <w:b/>
          <w:bCs/>
          <w:color w:val="auto"/>
          <w:highlight w:val="none"/>
        </w:rPr>
        <w:fldChar w:fldCharType="end"/>
      </w:r>
    </w:p>
    <w:p w14:paraId="34B68656">
      <w:pPr>
        <w:pStyle w:val="20"/>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_Toc16138 </w:instrText>
      </w:r>
      <w:r>
        <w:rPr>
          <w:rFonts w:hint="eastAsia" w:ascii="宋体" w:hAnsi="宋体" w:cs="宋体"/>
          <w:b/>
          <w:bCs/>
          <w:color w:val="auto"/>
          <w:highlight w:val="none"/>
        </w:rPr>
        <w:fldChar w:fldCharType="separate"/>
      </w:r>
      <w:r>
        <w:rPr>
          <w:rFonts w:hint="eastAsia" w:ascii="宋体"/>
          <w:b/>
          <w:bCs/>
          <w:color w:val="auto"/>
          <w:highlight w:val="none"/>
        </w:rPr>
        <w:t>二、投标人须知</w:t>
      </w:r>
      <w:r>
        <w:rPr>
          <w:b/>
          <w:bCs/>
          <w:color w:val="auto"/>
          <w:highlight w:val="none"/>
        </w:rPr>
        <w:tab/>
      </w:r>
      <w:r>
        <w:rPr>
          <w:b/>
          <w:bCs/>
          <w:color w:val="auto"/>
          <w:highlight w:val="none"/>
        </w:rPr>
        <w:fldChar w:fldCharType="begin"/>
      </w:r>
      <w:r>
        <w:rPr>
          <w:b/>
          <w:bCs/>
          <w:color w:val="auto"/>
          <w:highlight w:val="none"/>
        </w:rPr>
        <w:instrText xml:space="preserve"> PAGEREF _Toc16138 \h </w:instrText>
      </w:r>
      <w:r>
        <w:rPr>
          <w:b/>
          <w:bCs/>
          <w:color w:val="auto"/>
          <w:highlight w:val="none"/>
        </w:rPr>
        <w:fldChar w:fldCharType="separate"/>
      </w:r>
      <w:r>
        <w:rPr>
          <w:b/>
          <w:bCs/>
          <w:color w:val="auto"/>
          <w:highlight w:val="none"/>
        </w:rPr>
        <w:t>9</w:t>
      </w:r>
      <w:r>
        <w:rPr>
          <w:b/>
          <w:bCs/>
          <w:color w:val="auto"/>
          <w:highlight w:val="none"/>
        </w:rPr>
        <w:fldChar w:fldCharType="end"/>
      </w:r>
      <w:r>
        <w:rPr>
          <w:rFonts w:hint="eastAsia" w:ascii="宋体" w:hAnsi="宋体" w:cs="宋体"/>
          <w:b/>
          <w:bCs/>
          <w:color w:val="auto"/>
          <w:highlight w:val="none"/>
        </w:rPr>
        <w:fldChar w:fldCharType="end"/>
      </w:r>
    </w:p>
    <w:p w14:paraId="2605E82D">
      <w:pPr>
        <w:pStyle w:val="18"/>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_Toc30594 </w:instrText>
      </w:r>
      <w:r>
        <w:rPr>
          <w:rFonts w:hint="eastAsia" w:ascii="宋体" w:hAnsi="宋体" w:cs="宋体"/>
          <w:b/>
          <w:bCs/>
          <w:color w:val="auto"/>
          <w:highlight w:val="none"/>
        </w:rPr>
        <w:fldChar w:fldCharType="separate"/>
      </w:r>
      <w:r>
        <w:rPr>
          <w:rFonts w:hint="eastAsia" w:ascii="宋体"/>
          <w:b/>
          <w:bCs/>
          <w:color w:val="auto"/>
          <w:szCs w:val="28"/>
          <w:highlight w:val="none"/>
          <w:lang w:val="en-US" w:eastAsia="zh-CN"/>
        </w:rPr>
        <w:t>第三章 评标办法（综合评分法）</w:t>
      </w:r>
      <w:r>
        <w:rPr>
          <w:b/>
          <w:bCs/>
          <w:color w:val="auto"/>
          <w:highlight w:val="none"/>
        </w:rPr>
        <w:tab/>
      </w:r>
      <w:r>
        <w:rPr>
          <w:b/>
          <w:bCs/>
          <w:color w:val="auto"/>
          <w:highlight w:val="none"/>
        </w:rPr>
        <w:fldChar w:fldCharType="begin"/>
      </w:r>
      <w:r>
        <w:rPr>
          <w:b/>
          <w:bCs/>
          <w:color w:val="auto"/>
          <w:highlight w:val="none"/>
        </w:rPr>
        <w:instrText xml:space="preserve"> PAGEREF _Toc30594 \h </w:instrText>
      </w:r>
      <w:r>
        <w:rPr>
          <w:b/>
          <w:bCs/>
          <w:color w:val="auto"/>
          <w:highlight w:val="none"/>
        </w:rPr>
        <w:fldChar w:fldCharType="separate"/>
      </w:r>
      <w:r>
        <w:rPr>
          <w:b/>
          <w:bCs/>
          <w:color w:val="auto"/>
          <w:highlight w:val="none"/>
        </w:rPr>
        <w:t>21</w:t>
      </w:r>
      <w:r>
        <w:rPr>
          <w:b/>
          <w:bCs/>
          <w:color w:val="auto"/>
          <w:highlight w:val="none"/>
        </w:rPr>
        <w:fldChar w:fldCharType="end"/>
      </w:r>
      <w:r>
        <w:rPr>
          <w:rFonts w:hint="eastAsia" w:ascii="宋体" w:hAnsi="宋体" w:cs="宋体"/>
          <w:b/>
          <w:bCs/>
          <w:color w:val="auto"/>
          <w:highlight w:val="none"/>
        </w:rPr>
        <w:fldChar w:fldCharType="end"/>
      </w:r>
    </w:p>
    <w:p w14:paraId="166452AB">
      <w:pPr>
        <w:pStyle w:val="18"/>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_Toc25468 </w:instrText>
      </w:r>
      <w:r>
        <w:rPr>
          <w:rFonts w:hint="eastAsia" w:ascii="宋体" w:hAnsi="宋体" w:cs="宋体"/>
          <w:b/>
          <w:bCs/>
          <w:color w:val="auto"/>
          <w:highlight w:val="none"/>
        </w:rPr>
        <w:fldChar w:fldCharType="separate"/>
      </w:r>
      <w:r>
        <w:rPr>
          <w:rFonts w:hint="eastAsia" w:ascii="宋体"/>
          <w:b/>
          <w:bCs/>
          <w:color w:val="auto"/>
          <w:szCs w:val="28"/>
          <w:highlight w:val="none"/>
          <w:lang w:val="en-US" w:eastAsia="zh-CN"/>
        </w:rPr>
        <w:t>第四章 采购需求及技术参数要求</w:t>
      </w:r>
      <w:r>
        <w:rPr>
          <w:b/>
          <w:bCs/>
          <w:color w:val="auto"/>
          <w:highlight w:val="none"/>
        </w:rPr>
        <w:tab/>
      </w:r>
      <w:r>
        <w:rPr>
          <w:b/>
          <w:bCs/>
          <w:color w:val="auto"/>
          <w:highlight w:val="none"/>
        </w:rPr>
        <w:fldChar w:fldCharType="begin"/>
      </w:r>
      <w:r>
        <w:rPr>
          <w:b/>
          <w:bCs/>
          <w:color w:val="auto"/>
          <w:highlight w:val="none"/>
        </w:rPr>
        <w:instrText xml:space="preserve"> PAGEREF _Toc25468 \h </w:instrText>
      </w:r>
      <w:r>
        <w:rPr>
          <w:b/>
          <w:bCs/>
          <w:color w:val="auto"/>
          <w:highlight w:val="none"/>
        </w:rPr>
        <w:fldChar w:fldCharType="separate"/>
      </w:r>
      <w:r>
        <w:rPr>
          <w:b/>
          <w:bCs/>
          <w:color w:val="auto"/>
          <w:highlight w:val="none"/>
        </w:rPr>
        <w:t>27</w:t>
      </w:r>
      <w:r>
        <w:rPr>
          <w:b/>
          <w:bCs/>
          <w:color w:val="auto"/>
          <w:highlight w:val="none"/>
        </w:rPr>
        <w:fldChar w:fldCharType="end"/>
      </w:r>
      <w:r>
        <w:rPr>
          <w:rFonts w:hint="eastAsia" w:ascii="宋体" w:hAnsi="宋体" w:cs="宋体"/>
          <w:b/>
          <w:bCs/>
          <w:color w:val="auto"/>
          <w:highlight w:val="none"/>
        </w:rPr>
        <w:fldChar w:fldCharType="end"/>
      </w:r>
    </w:p>
    <w:p w14:paraId="72425632">
      <w:pPr>
        <w:pStyle w:val="18"/>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_Toc9754 </w:instrText>
      </w:r>
      <w:r>
        <w:rPr>
          <w:rFonts w:hint="eastAsia" w:ascii="宋体" w:hAnsi="宋体" w:cs="宋体"/>
          <w:b/>
          <w:bCs/>
          <w:color w:val="auto"/>
          <w:highlight w:val="none"/>
        </w:rPr>
        <w:fldChar w:fldCharType="separate"/>
      </w:r>
      <w:r>
        <w:rPr>
          <w:rFonts w:hint="eastAsia" w:ascii="宋体"/>
          <w:b/>
          <w:bCs/>
          <w:color w:val="auto"/>
          <w:szCs w:val="28"/>
          <w:highlight w:val="none"/>
          <w:lang w:val="en-US" w:eastAsia="zh-CN"/>
        </w:rPr>
        <w:t>第五章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_Toc9754 \h </w:instrText>
      </w:r>
      <w:r>
        <w:rPr>
          <w:b/>
          <w:bCs/>
          <w:color w:val="auto"/>
          <w:highlight w:val="none"/>
        </w:rPr>
        <w:fldChar w:fldCharType="separate"/>
      </w:r>
      <w:r>
        <w:rPr>
          <w:b/>
          <w:bCs/>
          <w:color w:val="auto"/>
          <w:highlight w:val="none"/>
        </w:rPr>
        <w:t>35</w:t>
      </w:r>
      <w:r>
        <w:rPr>
          <w:b/>
          <w:bCs/>
          <w:color w:val="auto"/>
          <w:highlight w:val="none"/>
        </w:rPr>
        <w:fldChar w:fldCharType="end"/>
      </w:r>
      <w:r>
        <w:rPr>
          <w:rFonts w:hint="eastAsia" w:ascii="宋体" w:hAnsi="宋体" w:cs="宋体"/>
          <w:b/>
          <w:bCs/>
          <w:color w:val="auto"/>
          <w:highlight w:val="none"/>
        </w:rPr>
        <w:fldChar w:fldCharType="end"/>
      </w:r>
    </w:p>
    <w:p w14:paraId="3EB9ADC3">
      <w:pPr>
        <w:pStyle w:val="18"/>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_Toc13968 </w:instrText>
      </w:r>
      <w:r>
        <w:rPr>
          <w:rFonts w:hint="eastAsia" w:ascii="宋体" w:hAnsi="宋体" w:cs="宋体"/>
          <w:b/>
          <w:bCs/>
          <w:color w:val="auto"/>
          <w:highlight w:val="none"/>
        </w:rPr>
        <w:fldChar w:fldCharType="separate"/>
      </w:r>
      <w:r>
        <w:rPr>
          <w:rFonts w:hint="eastAsia" w:ascii="宋体"/>
          <w:b/>
          <w:bCs/>
          <w:color w:val="auto"/>
          <w:szCs w:val="28"/>
          <w:highlight w:val="none"/>
          <w:lang w:val="en-US" w:eastAsia="zh-CN"/>
        </w:rPr>
        <w:t>第六章 投标文件格式</w:t>
      </w:r>
      <w:r>
        <w:rPr>
          <w:b/>
          <w:bCs/>
          <w:color w:val="auto"/>
          <w:highlight w:val="none"/>
        </w:rPr>
        <w:tab/>
      </w:r>
      <w:r>
        <w:rPr>
          <w:b/>
          <w:bCs/>
          <w:color w:val="auto"/>
          <w:highlight w:val="none"/>
        </w:rPr>
        <w:fldChar w:fldCharType="begin"/>
      </w:r>
      <w:r>
        <w:rPr>
          <w:b/>
          <w:bCs/>
          <w:color w:val="auto"/>
          <w:highlight w:val="none"/>
        </w:rPr>
        <w:instrText xml:space="preserve"> PAGEREF _Toc13968 \h </w:instrText>
      </w:r>
      <w:r>
        <w:rPr>
          <w:b/>
          <w:bCs/>
          <w:color w:val="auto"/>
          <w:highlight w:val="none"/>
        </w:rPr>
        <w:fldChar w:fldCharType="separate"/>
      </w:r>
      <w:r>
        <w:rPr>
          <w:b/>
          <w:bCs/>
          <w:color w:val="auto"/>
          <w:highlight w:val="none"/>
        </w:rPr>
        <w:t>40</w:t>
      </w:r>
      <w:r>
        <w:rPr>
          <w:b/>
          <w:bCs/>
          <w:color w:val="auto"/>
          <w:highlight w:val="none"/>
        </w:rPr>
        <w:fldChar w:fldCharType="end"/>
      </w:r>
      <w:r>
        <w:rPr>
          <w:rFonts w:hint="eastAsia" w:ascii="宋体" w:hAnsi="宋体" w:cs="宋体"/>
          <w:b/>
          <w:bCs/>
          <w:color w:val="auto"/>
          <w:highlight w:val="none"/>
        </w:rPr>
        <w:fldChar w:fldCharType="end"/>
      </w:r>
    </w:p>
    <w:p w14:paraId="2F337405">
      <w:pPr>
        <w:pStyle w:val="18"/>
        <w:keepNext w:val="0"/>
        <w:keepLines w:val="0"/>
        <w:pageBreakBefore w:val="0"/>
        <w:widowControl w:val="0"/>
        <w:tabs>
          <w:tab w:val="right" w:leader="dot" w:pos="9072"/>
        </w:tabs>
        <w:kinsoku/>
        <w:wordWrap/>
        <w:overflowPunct/>
        <w:topLinePunct w:val="0"/>
        <w:autoSpaceDE/>
        <w:autoSpaceDN/>
        <w:bidi w:val="0"/>
        <w:adjustRightInd/>
        <w:snapToGrid/>
        <w:spacing w:line="420" w:lineRule="exact"/>
        <w:textAlignment w:val="auto"/>
        <w:rPr>
          <w:b/>
          <w:bCs/>
          <w:color w:val="auto"/>
          <w:highlight w:val="none"/>
        </w:rPr>
      </w:pP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HYPERLINK \l _Toc30826 </w:instrText>
      </w:r>
      <w:r>
        <w:rPr>
          <w:rFonts w:hint="eastAsia" w:ascii="宋体" w:hAnsi="宋体" w:cs="宋体"/>
          <w:b/>
          <w:bCs/>
          <w:color w:val="auto"/>
          <w:highlight w:val="none"/>
        </w:rPr>
        <w:fldChar w:fldCharType="separate"/>
      </w:r>
      <w:r>
        <w:rPr>
          <w:rFonts w:hint="eastAsia" w:ascii="宋体" w:hAnsi="Times New Roman" w:eastAsia="宋体" w:cs="Times New Roman"/>
          <w:b/>
          <w:bCs/>
          <w:color w:val="auto"/>
          <w:kern w:val="44"/>
          <w:szCs w:val="28"/>
          <w:highlight w:val="none"/>
          <w:lang w:val="en-US" w:eastAsia="zh-CN" w:bidi="ar-SA"/>
        </w:rPr>
        <w:t>第七章 招标人、招标代理机构对本招标文件的确认</w:t>
      </w:r>
      <w:r>
        <w:rPr>
          <w:b/>
          <w:bCs/>
          <w:color w:val="auto"/>
          <w:highlight w:val="none"/>
        </w:rPr>
        <w:tab/>
      </w:r>
      <w:r>
        <w:rPr>
          <w:b/>
          <w:bCs/>
          <w:color w:val="auto"/>
          <w:highlight w:val="none"/>
        </w:rPr>
        <w:fldChar w:fldCharType="begin"/>
      </w:r>
      <w:r>
        <w:rPr>
          <w:b/>
          <w:bCs/>
          <w:color w:val="auto"/>
          <w:highlight w:val="none"/>
        </w:rPr>
        <w:instrText xml:space="preserve"> PAGEREF _Toc30826 \h </w:instrText>
      </w:r>
      <w:r>
        <w:rPr>
          <w:b/>
          <w:bCs/>
          <w:color w:val="auto"/>
          <w:highlight w:val="none"/>
        </w:rPr>
        <w:fldChar w:fldCharType="separate"/>
      </w:r>
      <w:r>
        <w:rPr>
          <w:b/>
          <w:bCs/>
          <w:color w:val="auto"/>
          <w:highlight w:val="none"/>
        </w:rPr>
        <w:t>61</w:t>
      </w:r>
      <w:r>
        <w:rPr>
          <w:b/>
          <w:bCs/>
          <w:color w:val="auto"/>
          <w:highlight w:val="none"/>
        </w:rPr>
        <w:fldChar w:fldCharType="end"/>
      </w:r>
      <w:r>
        <w:rPr>
          <w:rFonts w:hint="eastAsia" w:ascii="宋体" w:hAnsi="宋体" w:cs="宋体"/>
          <w:b/>
          <w:bCs/>
          <w:color w:val="auto"/>
          <w:highlight w:val="none"/>
        </w:rPr>
        <w:fldChar w:fldCharType="end"/>
      </w:r>
    </w:p>
    <w:p w14:paraId="373A00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olor w:val="auto"/>
          <w:highlight w:val="none"/>
        </w:rPr>
      </w:pPr>
      <w:r>
        <w:rPr>
          <w:rFonts w:hint="eastAsia" w:ascii="宋体" w:hAnsi="宋体" w:cs="宋体"/>
          <w:b/>
          <w:bCs/>
          <w:color w:val="auto"/>
          <w:highlight w:val="none"/>
        </w:rPr>
        <w:fldChar w:fldCharType="end"/>
      </w:r>
    </w:p>
    <w:p w14:paraId="53831F7E">
      <w:pPr>
        <w:jc w:val="center"/>
        <w:rPr>
          <w:rFonts w:hint="eastAsia" w:ascii="宋体"/>
          <w:b/>
          <w:color w:val="auto"/>
          <w:sz w:val="28"/>
          <w:szCs w:val="28"/>
          <w:highlight w:val="none"/>
        </w:rPr>
        <w:sectPr>
          <w:footerReference r:id="rId5" w:type="default"/>
          <w:pgSz w:w="11906" w:h="16838"/>
          <w:pgMar w:top="1440" w:right="1417" w:bottom="1417" w:left="1417" w:header="851" w:footer="992" w:gutter="0"/>
          <w:pgNumType w:fmt="decimal" w:start="1"/>
          <w:cols w:space="720" w:num="1"/>
          <w:docGrid w:type="lines" w:linePitch="312" w:charSpace="0"/>
        </w:sectPr>
      </w:pPr>
      <w:bookmarkStart w:id="0" w:name="_Toc58430304"/>
      <w:bookmarkStart w:id="1" w:name="_Toc2418"/>
      <w:bookmarkStart w:id="2" w:name="_Toc7218"/>
    </w:p>
    <w:p w14:paraId="212B6B08">
      <w:pPr>
        <w:pStyle w:val="5"/>
        <w:pageBreakBefore w:val="0"/>
        <w:numPr>
          <w:ilvl w:val="0"/>
          <w:numId w:val="0"/>
        </w:numPr>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宋体"/>
          <w:b/>
          <w:color w:val="auto"/>
          <w:sz w:val="28"/>
          <w:szCs w:val="28"/>
          <w:highlight w:val="none"/>
        </w:rPr>
      </w:pPr>
      <w:bookmarkStart w:id="3" w:name="_Toc6782"/>
      <w:r>
        <w:rPr>
          <w:rFonts w:hint="eastAsia" w:ascii="宋体"/>
          <w:b/>
          <w:color w:val="auto"/>
          <w:sz w:val="28"/>
          <w:szCs w:val="28"/>
          <w:highlight w:val="none"/>
          <w:lang w:val="en-US" w:eastAsia="zh-CN"/>
        </w:rPr>
        <w:t xml:space="preserve">第一章 </w:t>
      </w:r>
      <w:r>
        <w:rPr>
          <w:rFonts w:hint="eastAsia" w:ascii="宋体"/>
          <w:b/>
          <w:color w:val="auto"/>
          <w:sz w:val="28"/>
          <w:szCs w:val="28"/>
          <w:highlight w:val="none"/>
        </w:rPr>
        <w:t>招标公告</w:t>
      </w:r>
      <w:bookmarkEnd w:id="0"/>
      <w:bookmarkEnd w:id="1"/>
      <w:bookmarkEnd w:id="2"/>
      <w:bookmarkEnd w:id="3"/>
      <w:bookmarkStart w:id="4" w:name="_Toc35393789"/>
      <w:bookmarkStart w:id="5" w:name="_Toc28359001"/>
    </w:p>
    <w:p w14:paraId="54C9C1CC">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line="440" w:lineRule="exact"/>
        <w:jc w:val="center"/>
        <w:textAlignment w:val="auto"/>
        <w:outlineLvl w:val="9"/>
        <w:rPr>
          <w:rFonts w:hint="eastAsia" w:ascii="华文中宋" w:hAnsi="华文中宋" w:eastAsia="华文中宋" w:cs="Times New Roman"/>
          <w:b/>
          <w:bCs/>
          <w:color w:val="auto"/>
          <w:kern w:val="44"/>
          <w:sz w:val="32"/>
          <w:szCs w:val="32"/>
          <w:highlight w:val="none"/>
          <w:lang w:val="en-US" w:eastAsia="zh-CN"/>
        </w:rPr>
      </w:pPr>
      <w:bookmarkStart w:id="6" w:name="_Toc2373"/>
      <w:r>
        <w:rPr>
          <w:rFonts w:hint="eastAsia" w:ascii="华文中宋" w:hAnsi="华文中宋" w:eastAsia="华文中宋" w:cs="Times New Roman"/>
          <w:b/>
          <w:bCs/>
          <w:color w:val="auto"/>
          <w:kern w:val="44"/>
          <w:sz w:val="32"/>
          <w:szCs w:val="32"/>
          <w:highlight w:val="none"/>
          <w:lang w:val="en-US" w:eastAsia="zh-CN"/>
        </w:rPr>
        <w:t>定远县城乡水务投资建设有限公司2024年哈夫节采购项目招标公告</w:t>
      </w:r>
    </w:p>
    <w:p w14:paraId="554E1AEF">
      <w:pPr>
        <w:keepNext/>
        <w:keepLines/>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项目概况</w:t>
      </w:r>
    </w:p>
    <w:p w14:paraId="5807B30F">
      <w:pPr>
        <w:keepNext/>
        <w:keepLines/>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黑体" w:hAnsi="黑体" w:cs="宋体"/>
          <w:b w:val="0"/>
          <w:color w:val="auto"/>
          <w:sz w:val="21"/>
          <w:szCs w:val="21"/>
          <w:highlight w:val="none"/>
        </w:rPr>
      </w:pPr>
      <w:r>
        <w:rPr>
          <w:rFonts w:hint="eastAsia" w:ascii="仿宋" w:hAnsi="仿宋" w:eastAsia="仿宋" w:cs="仿宋"/>
          <w:b w:val="0"/>
          <w:color w:val="auto"/>
          <w:sz w:val="21"/>
          <w:szCs w:val="21"/>
          <w:highlight w:val="none"/>
          <w:u w:val="none"/>
          <w:lang w:eastAsia="zh-CN"/>
        </w:rPr>
        <w:t>定远县城乡水务投资建设有限公司2024年哈夫节采购项目</w:t>
      </w:r>
      <w:r>
        <w:rPr>
          <w:rFonts w:hint="eastAsia" w:ascii="仿宋" w:hAnsi="仿宋" w:eastAsia="仿宋" w:cs="仿宋"/>
          <w:b w:val="0"/>
          <w:color w:val="auto"/>
          <w:sz w:val="21"/>
          <w:szCs w:val="21"/>
          <w:highlight w:val="none"/>
          <w:u w:val="none"/>
        </w:rPr>
        <w:t>的潜在投标人应在滁州市公共资源交易中心网（http：//ggzy.chuzhou.gov.cn/）获取招标文件，并于</w:t>
      </w:r>
      <w:r>
        <w:rPr>
          <w:rFonts w:hint="eastAsia" w:ascii="仿宋" w:hAnsi="仿宋" w:eastAsia="仿宋" w:cs="仿宋"/>
          <w:b w:val="0"/>
          <w:color w:val="auto"/>
          <w:sz w:val="21"/>
          <w:szCs w:val="21"/>
          <w:highlight w:val="none"/>
          <w:u w:val="none"/>
          <w:lang w:val="en-US" w:eastAsia="zh-CN"/>
        </w:rPr>
        <w:t>2024</w:t>
      </w:r>
      <w:r>
        <w:rPr>
          <w:rFonts w:hint="eastAsia" w:ascii="仿宋" w:hAnsi="仿宋" w:eastAsia="仿宋" w:cs="仿宋"/>
          <w:b w:val="0"/>
          <w:color w:val="auto"/>
          <w:sz w:val="21"/>
          <w:szCs w:val="21"/>
          <w:highlight w:val="none"/>
          <w:u w:val="none"/>
        </w:rPr>
        <w:t>年</w:t>
      </w:r>
      <w:r>
        <w:rPr>
          <w:rFonts w:hint="eastAsia" w:ascii="仿宋" w:hAnsi="仿宋" w:eastAsia="仿宋" w:cs="仿宋"/>
          <w:b w:val="0"/>
          <w:color w:val="auto"/>
          <w:sz w:val="21"/>
          <w:szCs w:val="21"/>
          <w:highlight w:val="none"/>
          <w:u w:val="none"/>
          <w:lang w:val="en-US" w:eastAsia="zh-CN"/>
        </w:rPr>
        <w:t>7</w:t>
      </w:r>
      <w:r>
        <w:rPr>
          <w:rFonts w:hint="eastAsia" w:ascii="仿宋" w:hAnsi="仿宋" w:eastAsia="仿宋" w:cs="仿宋"/>
          <w:b w:val="0"/>
          <w:color w:val="auto"/>
          <w:sz w:val="21"/>
          <w:szCs w:val="21"/>
          <w:highlight w:val="none"/>
          <w:u w:val="none"/>
        </w:rPr>
        <w:t>月</w:t>
      </w:r>
      <w:r>
        <w:rPr>
          <w:rFonts w:hint="eastAsia" w:ascii="仿宋" w:hAnsi="仿宋" w:eastAsia="仿宋" w:cs="仿宋"/>
          <w:b w:val="0"/>
          <w:color w:val="auto"/>
          <w:sz w:val="21"/>
          <w:szCs w:val="21"/>
          <w:highlight w:val="none"/>
          <w:u w:val="none"/>
          <w:lang w:val="en-US" w:eastAsia="zh-CN"/>
        </w:rPr>
        <w:t>30</w:t>
      </w:r>
      <w:r>
        <w:rPr>
          <w:rFonts w:hint="eastAsia" w:ascii="仿宋" w:hAnsi="仿宋" w:eastAsia="仿宋" w:cs="仿宋"/>
          <w:b w:val="0"/>
          <w:color w:val="auto"/>
          <w:sz w:val="21"/>
          <w:szCs w:val="21"/>
          <w:highlight w:val="none"/>
          <w:u w:val="none"/>
        </w:rPr>
        <w:t>日</w:t>
      </w:r>
      <w:r>
        <w:rPr>
          <w:rFonts w:hint="eastAsia" w:ascii="仿宋" w:hAnsi="仿宋" w:eastAsia="仿宋" w:cs="仿宋"/>
          <w:b w:val="0"/>
          <w:color w:val="auto"/>
          <w:sz w:val="21"/>
          <w:szCs w:val="21"/>
          <w:highlight w:val="none"/>
          <w:u w:val="none"/>
          <w:lang w:val="en-US" w:eastAsia="zh-CN"/>
        </w:rPr>
        <w:t>8</w:t>
      </w:r>
      <w:r>
        <w:rPr>
          <w:rFonts w:hint="eastAsia" w:ascii="仿宋" w:hAnsi="仿宋" w:eastAsia="仿宋" w:cs="仿宋"/>
          <w:b w:val="0"/>
          <w:color w:val="auto"/>
          <w:sz w:val="21"/>
          <w:szCs w:val="21"/>
          <w:highlight w:val="none"/>
          <w:u w:val="none"/>
        </w:rPr>
        <w:t>点</w:t>
      </w:r>
      <w:r>
        <w:rPr>
          <w:rFonts w:hint="eastAsia" w:ascii="仿宋" w:hAnsi="仿宋" w:eastAsia="仿宋" w:cs="仿宋"/>
          <w:b w:val="0"/>
          <w:color w:val="auto"/>
          <w:sz w:val="21"/>
          <w:szCs w:val="21"/>
          <w:highlight w:val="none"/>
          <w:u w:val="none"/>
          <w:lang w:val="en-US" w:eastAsia="zh-CN"/>
        </w:rPr>
        <w:t>30</w:t>
      </w:r>
      <w:r>
        <w:rPr>
          <w:rFonts w:hint="eastAsia" w:ascii="仿宋" w:hAnsi="仿宋" w:eastAsia="仿宋" w:cs="仿宋"/>
          <w:b w:val="0"/>
          <w:color w:val="auto"/>
          <w:sz w:val="21"/>
          <w:szCs w:val="21"/>
          <w:highlight w:val="none"/>
          <w:u w:val="none"/>
        </w:rPr>
        <w:t>分（北京时间）前递交投标文件。</w:t>
      </w:r>
    </w:p>
    <w:p w14:paraId="6CC3B427">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一、项目基本情况</w:t>
      </w:r>
    </w:p>
    <w:p w14:paraId="1A83F40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项目编号：</w:t>
      </w:r>
      <w:r>
        <w:rPr>
          <w:rFonts w:hint="eastAsia" w:ascii="仿宋" w:hAnsi="仿宋" w:eastAsia="仿宋"/>
          <w:color w:val="auto"/>
          <w:sz w:val="21"/>
          <w:szCs w:val="21"/>
          <w:highlight w:val="none"/>
          <w:lang w:eastAsia="zh-CN"/>
        </w:rPr>
        <w:t>czdyqt202</w:t>
      </w:r>
      <w:r>
        <w:rPr>
          <w:rFonts w:hint="eastAsia" w:ascii="仿宋" w:hAnsi="仿宋" w:eastAsia="仿宋"/>
          <w:color w:val="auto"/>
          <w:sz w:val="21"/>
          <w:szCs w:val="21"/>
          <w:highlight w:val="none"/>
          <w:lang w:val="en-US" w:eastAsia="zh-CN"/>
        </w:rPr>
        <w:t>407-004</w:t>
      </w:r>
    </w:p>
    <w:p w14:paraId="2DC5D73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项目名称：</w:t>
      </w:r>
      <w:r>
        <w:rPr>
          <w:rFonts w:hint="eastAsia" w:ascii="仿宋" w:hAnsi="仿宋" w:eastAsia="仿宋"/>
          <w:color w:val="auto"/>
          <w:sz w:val="21"/>
          <w:szCs w:val="21"/>
          <w:highlight w:val="none"/>
          <w:lang w:eastAsia="zh-CN"/>
        </w:rPr>
        <w:t>定远县城乡水务投资建设有限公司2024年哈夫节采购项目</w:t>
      </w:r>
    </w:p>
    <w:p w14:paraId="46147A8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预算金额：</w:t>
      </w:r>
      <w:r>
        <w:rPr>
          <w:rFonts w:hint="eastAsia" w:ascii="仿宋" w:hAnsi="仿宋" w:eastAsia="仿宋"/>
          <w:color w:val="auto"/>
          <w:sz w:val="21"/>
          <w:szCs w:val="21"/>
          <w:highlight w:val="none"/>
          <w:lang w:val="en-US" w:eastAsia="zh-CN"/>
        </w:rPr>
        <w:t>215.7788万元</w:t>
      </w:r>
    </w:p>
    <w:p w14:paraId="7C71971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最高限价：</w:t>
      </w:r>
      <w:r>
        <w:rPr>
          <w:rFonts w:hint="eastAsia" w:ascii="仿宋" w:hAnsi="仿宋" w:eastAsia="仿宋"/>
          <w:color w:val="auto"/>
          <w:sz w:val="21"/>
          <w:szCs w:val="21"/>
          <w:highlight w:val="none"/>
          <w:lang w:val="en-US" w:eastAsia="zh-CN"/>
        </w:rPr>
        <w:t>215.7788万元</w:t>
      </w:r>
    </w:p>
    <w:p w14:paraId="064922D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u w:val="single"/>
          <w:lang w:eastAsia="zh-CN"/>
        </w:rPr>
      </w:pPr>
      <w:r>
        <w:rPr>
          <w:rFonts w:hint="eastAsia" w:ascii="仿宋" w:hAnsi="仿宋" w:eastAsia="仿宋"/>
          <w:color w:val="auto"/>
          <w:sz w:val="21"/>
          <w:szCs w:val="21"/>
          <w:highlight w:val="none"/>
        </w:rPr>
        <w:t>采购需求：</w:t>
      </w:r>
      <w:r>
        <w:rPr>
          <w:rFonts w:hint="eastAsia" w:ascii="仿宋" w:hAnsi="仿宋" w:eastAsia="仿宋"/>
          <w:color w:val="auto"/>
          <w:sz w:val="21"/>
          <w:szCs w:val="21"/>
          <w:highlight w:val="none"/>
          <w:lang w:val="en-US" w:eastAsia="zh-CN"/>
        </w:rPr>
        <w:t>约8340只哈夫节</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具体要求详见招标文件</w:t>
      </w:r>
      <w:r>
        <w:rPr>
          <w:rFonts w:hint="eastAsia" w:ascii="仿宋" w:hAnsi="仿宋" w:eastAsia="仿宋"/>
          <w:color w:val="auto"/>
          <w:sz w:val="21"/>
          <w:szCs w:val="21"/>
          <w:highlight w:val="none"/>
          <w:lang w:eastAsia="zh-CN"/>
        </w:rPr>
        <w:t>。</w:t>
      </w:r>
    </w:p>
    <w:p w14:paraId="1454201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olor w:val="auto"/>
          <w:sz w:val="21"/>
          <w:szCs w:val="21"/>
          <w:highlight w:val="none"/>
          <w:u w:val="single"/>
        </w:rPr>
      </w:pPr>
      <w:r>
        <w:rPr>
          <w:rFonts w:hint="eastAsia" w:ascii="仿宋" w:hAnsi="仿宋" w:eastAsia="仿宋"/>
          <w:color w:val="auto"/>
          <w:sz w:val="21"/>
          <w:szCs w:val="21"/>
          <w:highlight w:val="none"/>
        </w:rPr>
        <w:t>合同履行期限：</w:t>
      </w:r>
      <w:r>
        <w:rPr>
          <w:rFonts w:hint="eastAsia" w:ascii="仿宋" w:hAnsi="仿宋" w:eastAsia="仿宋"/>
          <w:color w:val="auto"/>
          <w:sz w:val="21"/>
          <w:szCs w:val="21"/>
          <w:highlight w:val="none"/>
          <w:lang w:val="en-US" w:eastAsia="zh-CN"/>
        </w:rPr>
        <w:t>供货期暂定365日历天（供货期内按招标人需求分批次供货，接到招标人每批次供货需求后7日历天内交付至招标人指定地点）</w:t>
      </w:r>
      <w:r>
        <w:rPr>
          <w:rFonts w:hint="eastAsia" w:ascii="仿宋" w:hAnsi="仿宋" w:eastAsia="仿宋"/>
          <w:color w:val="auto"/>
          <w:sz w:val="21"/>
          <w:szCs w:val="21"/>
          <w:highlight w:val="none"/>
        </w:rPr>
        <w:t>。</w:t>
      </w:r>
    </w:p>
    <w:p w14:paraId="03D6EFB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本项目</w:t>
      </w:r>
      <w:r>
        <w:rPr>
          <w:rFonts w:hint="eastAsia" w:ascii="仿宋" w:hAnsi="仿宋" w:eastAsia="仿宋"/>
          <w:color w:val="auto"/>
          <w:sz w:val="21"/>
          <w:szCs w:val="21"/>
          <w:highlight w:val="none"/>
          <w:lang w:val="en-US" w:eastAsia="zh-CN"/>
        </w:rPr>
        <w:t>不</w:t>
      </w:r>
      <w:r>
        <w:rPr>
          <w:rFonts w:hint="eastAsia" w:ascii="仿宋" w:hAnsi="仿宋" w:eastAsia="仿宋"/>
          <w:color w:val="auto"/>
          <w:sz w:val="21"/>
          <w:szCs w:val="21"/>
          <w:highlight w:val="none"/>
        </w:rPr>
        <w:t>接受联合体投标。</w:t>
      </w:r>
    </w:p>
    <w:p w14:paraId="2DD75B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二、申请人的资格要求：</w:t>
      </w:r>
    </w:p>
    <w:p w14:paraId="50FB4B2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1.具有独立法人资格，具有有效的营业执照</w:t>
      </w:r>
      <w:r>
        <w:rPr>
          <w:rFonts w:hint="eastAsia" w:ascii="仿宋" w:hAnsi="仿宋" w:eastAsia="仿宋"/>
          <w:color w:val="auto"/>
          <w:sz w:val="21"/>
          <w:szCs w:val="21"/>
          <w:highlight w:val="none"/>
          <w:lang w:eastAsia="zh-CN"/>
        </w:rPr>
        <w:t>。</w:t>
      </w:r>
    </w:p>
    <w:p w14:paraId="6E12B45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rPr>
        <w:t>2.本项目的特定资格要求：</w:t>
      </w:r>
      <w:r>
        <w:rPr>
          <w:rFonts w:hint="eastAsia" w:ascii="仿宋" w:hAnsi="仿宋" w:eastAsia="仿宋" w:cs="Times New Roman"/>
          <w:color w:val="auto"/>
          <w:sz w:val="21"/>
          <w:szCs w:val="21"/>
          <w:highlight w:val="none"/>
          <w:lang w:val="en-US" w:eastAsia="zh-CN"/>
        </w:rPr>
        <w:t>无。</w:t>
      </w:r>
    </w:p>
    <w:p w14:paraId="5D8E34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3</w:t>
      </w:r>
      <w:r>
        <w:rPr>
          <w:rFonts w:hint="eastAsia" w:ascii="仿宋" w:hAnsi="仿宋" w:eastAsia="仿宋"/>
          <w:color w:val="auto"/>
          <w:sz w:val="21"/>
          <w:szCs w:val="21"/>
          <w:highlight w:val="none"/>
        </w:rPr>
        <w:t>.</w:t>
      </w:r>
      <w:r>
        <w:rPr>
          <w:rFonts w:hint="eastAsia" w:ascii="仿宋" w:hAnsi="仿宋" w:eastAsia="仿宋" w:cs="Times New Roman"/>
          <w:i w:val="0"/>
          <w:caps w:val="0"/>
          <w:color w:val="auto"/>
          <w:spacing w:val="0"/>
          <w:sz w:val="21"/>
          <w:szCs w:val="21"/>
          <w:highlight w:val="none"/>
          <w:shd w:val="clear" w:color="auto" w:fill="auto"/>
        </w:rPr>
        <w:t>信誉要求：</w:t>
      </w:r>
      <w:r>
        <w:rPr>
          <w:rFonts w:hint="eastAsia" w:ascii="仿宋" w:hAnsi="仿宋" w:eastAsia="仿宋" w:cs="Times New Roman"/>
          <w:i w:val="0"/>
          <w:caps w:val="0"/>
          <w:color w:val="auto"/>
          <w:spacing w:val="0"/>
          <w:sz w:val="21"/>
          <w:szCs w:val="21"/>
          <w:highlight w:val="none"/>
          <w:shd w:val="clear" w:color="auto" w:fill="auto"/>
          <w:lang w:eastAsia="zh-CN"/>
        </w:rPr>
        <w:t>投标人</w:t>
      </w:r>
      <w:r>
        <w:rPr>
          <w:rFonts w:hint="eastAsia" w:ascii="仿宋" w:hAnsi="仿宋" w:eastAsia="仿宋" w:cs="Times New Roman"/>
          <w:i w:val="0"/>
          <w:caps w:val="0"/>
          <w:color w:val="auto"/>
          <w:spacing w:val="0"/>
          <w:sz w:val="21"/>
          <w:szCs w:val="21"/>
          <w:highlight w:val="none"/>
          <w:shd w:val="clear" w:color="auto" w:fill="auto"/>
        </w:rPr>
        <w:t>不得存在以下情形</w:t>
      </w:r>
      <w:r>
        <w:rPr>
          <w:rFonts w:hint="eastAsia" w:ascii="仿宋" w:hAnsi="仿宋" w:eastAsia="仿宋"/>
          <w:color w:val="auto"/>
          <w:sz w:val="21"/>
          <w:szCs w:val="21"/>
          <w:highlight w:val="none"/>
        </w:rPr>
        <w:t>：</w:t>
      </w:r>
    </w:p>
    <w:p w14:paraId="14BF85F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①投标人被人民法院列入失信被执行人的；</w:t>
      </w:r>
    </w:p>
    <w:p w14:paraId="7D9EDA8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②投标人或其法定代表人或拟派项目负责人前三年有行贿犯罪行为的；</w:t>
      </w:r>
    </w:p>
    <w:p w14:paraId="56E0BCA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③投标人被市场监督管理部门列入经营异常名录或者严重违法企业名单，且未被移除的；</w:t>
      </w:r>
    </w:p>
    <w:p w14:paraId="3E2B2AA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④投标人被税务部门列入重大税收违法案件当事人的；</w:t>
      </w:r>
    </w:p>
    <w:p w14:paraId="5B1BE9D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⑤在“信用中国”网站上披露仍在公示期的严重失信行为的；</w:t>
      </w:r>
    </w:p>
    <w:p w14:paraId="45A3748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⑥被滁州市县两级各行业主管部门及公管部门取消在一定期限内的投标资格且在取消期限内的；</w:t>
      </w:r>
    </w:p>
    <w:p w14:paraId="2A34EF1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⑦被滁州市县两级公管部门记入不良行为记录或者信用信息记录，且在披露期内的。</w:t>
      </w:r>
    </w:p>
    <w:p w14:paraId="38E2D15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⑧被人力资源社会保障主管部门列入拖欠农民工工资‘黑名单’或因拖欠农民工工资被县级及以上有关行政主管部门限制投标资格且在限制期限内的。</w:t>
      </w:r>
    </w:p>
    <w:p w14:paraId="4702766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.投标人所属分公司、办事处等分支机构存在第</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款信誉要求①-</w:t>
      </w:r>
      <w:r>
        <w:rPr>
          <w:rFonts w:hint="eastAsia" w:ascii="仿宋" w:hAnsi="仿宋" w:eastAsia="仿宋" w:cs="仿宋"/>
          <w:color w:val="auto"/>
          <w:sz w:val="21"/>
          <w:szCs w:val="21"/>
          <w:highlight w:val="none"/>
          <w:lang w:val="en-US" w:eastAsia="zh-CN"/>
        </w:rPr>
        <w:t>⑧</w:t>
      </w:r>
      <w:r>
        <w:rPr>
          <w:rFonts w:hint="eastAsia" w:ascii="仿宋" w:hAnsi="仿宋" w:eastAsia="仿宋" w:cs="仿宋"/>
          <w:color w:val="auto"/>
          <w:sz w:val="21"/>
          <w:szCs w:val="21"/>
          <w:highlight w:val="none"/>
        </w:rPr>
        <w:t>项情形之一的，接受投标人参加本项目。</w:t>
      </w:r>
    </w:p>
    <w:p w14:paraId="7936DD8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备注：第3、4条按照“关于联合惩戒失信行为 加强信用查询管理的通知”查询或承诺。</w:t>
      </w:r>
    </w:p>
    <w:p w14:paraId="21AC36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三、获取招标文件</w:t>
      </w:r>
    </w:p>
    <w:p w14:paraId="78CCB6B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iCs/>
          <w:color w:val="auto"/>
          <w:sz w:val="21"/>
          <w:szCs w:val="21"/>
          <w:highlight w:val="none"/>
          <w:u w:val="none"/>
        </w:rPr>
      </w:pPr>
      <w:r>
        <w:rPr>
          <w:rFonts w:hint="eastAsia" w:ascii="仿宋" w:hAnsi="仿宋" w:eastAsia="仿宋" w:cs="宋体"/>
          <w:color w:val="auto"/>
          <w:sz w:val="21"/>
          <w:szCs w:val="21"/>
          <w:highlight w:val="none"/>
          <w:u w:val="none"/>
        </w:rPr>
        <w:t>时间：</w:t>
      </w:r>
      <w:r>
        <w:rPr>
          <w:rFonts w:hint="eastAsia" w:ascii="仿宋" w:hAnsi="仿宋" w:eastAsia="仿宋" w:cs="宋体"/>
          <w:color w:val="auto"/>
          <w:sz w:val="21"/>
          <w:szCs w:val="21"/>
          <w:highlight w:val="none"/>
          <w:u w:val="none"/>
          <w:lang w:val="en-US" w:eastAsia="zh-CN"/>
        </w:rPr>
        <w:t>2024</w:t>
      </w:r>
      <w:r>
        <w:rPr>
          <w:rFonts w:hint="eastAsia" w:ascii="仿宋" w:hAnsi="仿宋" w:eastAsia="仿宋" w:cs="宋体"/>
          <w:color w:val="auto"/>
          <w:sz w:val="21"/>
          <w:szCs w:val="21"/>
          <w:highlight w:val="none"/>
          <w:u w:val="none"/>
        </w:rPr>
        <w:t>年</w:t>
      </w:r>
      <w:r>
        <w:rPr>
          <w:rFonts w:hint="eastAsia" w:ascii="仿宋" w:hAnsi="仿宋" w:eastAsia="仿宋" w:cs="宋体"/>
          <w:color w:val="auto"/>
          <w:sz w:val="21"/>
          <w:szCs w:val="21"/>
          <w:highlight w:val="none"/>
          <w:u w:val="none"/>
          <w:lang w:val="en-US" w:eastAsia="zh-CN"/>
        </w:rPr>
        <w:t>7</w:t>
      </w:r>
      <w:r>
        <w:rPr>
          <w:rFonts w:hint="eastAsia" w:ascii="仿宋" w:hAnsi="仿宋" w:eastAsia="仿宋" w:cs="宋体"/>
          <w:color w:val="auto"/>
          <w:sz w:val="21"/>
          <w:szCs w:val="21"/>
          <w:highlight w:val="none"/>
          <w:u w:val="none"/>
        </w:rPr>
        <w:t>月</w:t>
      </w:r>
      <w:r>
        <w:rPr>
          <w:rFonts w:hint="eastAsia" w:ascii="仿宋" w:hAnsi="仿宋" w:eastAsia="仿宋" w:cs="宋体"/>
          <w:color w:val="auto"/>
          <w:sz w:val="21"/>
          <w:szCs w:val="21"/>
          <w:highlight w:val="none"/>
          <w:u w:val="none"/>
          <w:lang w:val="en-US" w:eastAsia="zh-CN"/>
        </w:rPr>
        <w:t>10</w:t>
      </w:r>
      <w:r>
        <w:rPr>
          <w:rFonts w:hint="eastAsia" w:ascii="仿宋" w:hAnsi="仿宋" w:eastAsia="仿宋" w:cs="宋体"/>
          <w:color w:val="auto"/>
          <w:sz w:val="21"/>
          <w:szCs w:val="21"/>
          <w:highlight w:val="none"/>
          <w:u w:val="none"/>
        </w:rPr>
        <w:t>日至</w:t>
      </w:r>
      <w:r>
        <w:rPr>
          <w:rFonts w:hint="eastAsia" w:ascii="仿宋" w:hAnsi="仿宋" w:eastAsia="仿宋" w:cs="宋体"/>
          <w:color w:val="auto"/>
          <w:sz w:val="21"/>
          <w:szCs w:val="21"/>
          <w:highlight w:val="none"/>
          <w:u w:val="none"/>
          <w:lang w:val="en-US" w:eastAsia="zh-CN"/>
        </w:rPr>
        <w:t>2024</w:t>
      </w:r>
      <w:r>
        <w:rPr>
          <w:rFonts w:hint="eastAsia" w:ascii="仿宋" w:hAnsi="仿宋" w:eastAsia="仿宋" w:cs="宋体"/>
          <w:color w:val="auto"/>
          <w:sz w:val="21"/>
          <w:szCs w:val="21"/>
          <w:highlight w:val="none"/>
          <w:u w:val="none"/>
        </w:rPr>
        <w:t>年</w:t>
      </w:r>
      <w:r>
        <w:rPr>
          <w:rFonts w:hint="eastAsia" w:ascii="仿宋" w:hAnsi="仿宋" w:eastAsia="仿宋" w:cs="宋体"/>
          <w:color w:val="auto"/>
          <w:sz w:val="21"/>
          <w:szCs w:val="21"/>
          <w:highlight w:val="none"/>
          <w:u w:val="none"/>
          <w:lang w:val="en-US" w:eastAsia="zh-CN"/>
        </w:rPr>
        <w:t>7</w:t>
      </w:r>
      <w:r>
        <w:rPr>
          <w:rFonts w:hint="eastAsia" w:ascii="仿宋" w:hAnsi="仿宋" w:eastAsia="仿宋" w:cs="宋体"/>
          <w:color w:val="auto"/>
          <w:sz w:val="21"/>
          <w:szCs w:val="21"/>
          <w:highlight w:val="none"/>
          <w:u w:val="none"/>
        </w:rPr>
        <w:t>月</w:t>
      </w:r>
      <w:r>
        <w:rPr>
          <w:rFonts w:hint="eastAsia" w:ascii="仿宋" w:hAnsi="仿宋" w:eastAsia="仿宋" w:cs="宋体"/>
          <w:color w:val="auto"/>
          <w:sz w:val="21"/>
          <w:szCs w:val="21"/>
          <w:highlight w:val="none"/>
          <w:u w:val="none"/>
          <w:lang w:val="en-US" w:eastAsia="zh-CN"/>
        </w:rPr>
        <w:t>30</w:t>
      </w:r>
      <w:r>
        <w:rPr>
          <w:rFonts w:hint="eastAsia" w:ascii="仿宋" w:hAnsi="仿宋" w:eastAsia="仿宋" w:cs="宋体"/>
          <w:color w:val="auto"/>
          <w:sz w:val="21"/>
          <w:szCs w:val="21"/>
          <w:highlight w:val="none"/>
          <w:u w:val="none"/>
        </w:rPr>
        <w:t>日</w:t>
      </w:r>
    </w:p>
    <w:p w14:paraId="53C5041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地点：滁州市公共资源交易中心网</w:t>
      </w:r>
    </w:p>
    <w:p w14:paraId="4CF56EF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方式：</w:t>
      </w:r>
      <w:r>
        <w:rPr>
          <w:rFonts w:hint="eastAsia" w:ascii="仿宋" w:hAnsi="仿宋" w:eastAsia="仿宋" w:cs="宋体"/>
          <w:color w:val="auto"/>
          <w:sz w:val="21"/>
          <w:szCs w:val="21"/>
          <w:highlight w:val="none"/>
          <w:u w:val="none"/>
          <w:lang w:eastAsia="zh-CN"/>
        </w:rPr>
        <w:t>网上下载</w:t>
      </w:r>
    </w:p>
    <w:p w14:paraId="57BBA07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售价：</w:t>
      </w:r>
      <w:r>
        <w:rPr>
          <w:rFonts w:hint="eastAsia" w:ascii="仿宋" w:hAnsi="仿宋" w:eastAsia="仿宋" w:cs="宋体"/>
          <w:color w:val="auto"/>
          <w:sz w:val="21"/>
          <w:szCs w:val="21"/>
          <w:highlight w:val="none"/>
          <w:u w:val="none"/>
          <w:lang w:val="en-US" w:eastAsia="zh-CN"/>
        </w:rPr>
        <w:t>0元</w:t>
      </w:r>
    </w:p>
    <w:p w14:paraId="4A51807F">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u w:val="none"/>
          <w:lang w:val="en-US" w:eastAsia="zh-CN"/>
        </w:rPr>
      </w:pPr>
      <w:r>
        <w:rPr>
          <w:rFonts w:hint="eastAsia" w:ascii="黑体" w:hAnsi="黑体" w:eastAsia="黑体" w:cs="黑体"/>
          <w:b w:val="0"/>
          <w:color w:val="auto"/>
          <w:sz w:val="21"/>
          <w:szCs w:val="21"/>
          <w:highlight w:val="none"/>
          <w:u w:val="none"/>
          <w:lang w:val="en-US" w:eastAsia="zh-CN"/>
        </w:rPr>
        <w:t>四、提交投标文件截止时间、开标时间和地点</w:t>
      </w:r>
    </w:p>
    <w:p w14:paraId="738C3D73">
      <w:pPr>
        <w:keepNext w:val="0"/>
        <w:keepLines w:val="0"/>
        <w:pageBreakBefore w:val="0"/>
        <w:widowControl w:val="0"/>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bCs/>
          <w:color w:val="auto"/>
          <w:sz w:val="21"/>
          <w:szCs w:val="21"/>
          <w:highlight w:val="none"/>
          <w:u w:val="none"/>
          <w:lang w:eastAsia="zh-CN"/>
        </w:rPr>
      </w:pPr>
      <w:r>
        <w:rPr>
          <w:rFonts w:hint="eastAsia" w:ascii="仿宋" w:hAnsi="仿宋" w:eastAsia="仿宋"/>
          <w:bCs/>
          <w:color w:val="auto"/>
          <w:sz w:val="21"/>
          <w:szCs w:val="21"/>
          <w:highlight w:val="none"/>
          <w:u w:val="none"/>
          <w:lang w:val="en-US" w:eastAsia="zh-CN"/>
        </w:rPr>
        <w:t>2024</w:t>
      </w:r>
      <w:r>
        <w:rPr>
          <w:rFonts w:hint="eastAsia" w:ascii="仿宋" w:hAnsi="仿宋" w:eastAsia="仿宋"/>
          <w:bCs/>
          <w:color w:val="auto"/>
          <w:sz w:val="21"/>
          <w:szCs w:val="21"/>
          <w:highlight w:val="none"/>
          <w:u w:val="none"/>
          <w:lang w:eastAsia="zh-CN"/>
        </w:rPr>
        <w:t>年</w:t>
      </w:r>
      <w:r>
        <w:rPr>
          <w:rFonts w:hint="eastAsia" w:ascii="仿宋" w:hAnsi="仿宋" w:eastAsia="仿宋"/>
          <w:bCs/>
          <w:color w:val="auto"/>
          <w:sz w:val="21"/>
          <w:szCs w:val="21"/>
          <w:highlight w:val="none"/>
          <w:u w:val="none"/>
          <w:lang w:val="en-US" w:eastAsia="zh-CN"/>
        </w:rPr>
        <w:t>7</w:t>
      </w:r>
      <w:r>
        <w:rPr>
          <w:rFonts w:hint="eastAsia" w:ascii="仿宋" w:hAnsi="仿宋" w:eastAsia="仿宋"/>
          <w:bCs/>
          <w:color w:val="auto"/>
          <w:sz w:val="21"/>
          <w:szCs w:val="21"/>
          <w:highlight w:val="none"/>
          <w:u w:val="none"/>
          <w:lang w:eastAsia="zh-CN"/>
        </w:rPr>
        <w:t>月</w:t>
      </w:r>
      <w:r>
        <w:rPr>
          <w:rFonts w:hint="eastAsia" w:ascii="仿宋" w:hAnsi="仿宋" w:eastAsia="仿宋"/>
          <w:bCs/>
          <w:color w:val="auto"/>
          <w:sz w:val="21"/>
          <w:szCs w:val="21"/>
          <w:highlight w:val="none"/>
          <w:u w:val="none"/>
          <w:lang w:val="en-US" w:eastAsia="zh-CN"/>
        </w:rPr>
        <w:t>30</w:t>
      </w:r>
      <w:r>
        <w:rPr>
          <w:rFonts w:hint="eastAsia" w:ascii="仿宋" w:hAnsi="仿宋" w:eastAsia="仿宋"/>
          <w:bCs/>
          <w:color w:val="auto"/>
          <w:sz w:val="21"/>
          <w:szCs w:val="21"/>
          <w:highlight w:val="none"/>
          <w:u w:val="none"/>
          <w:lang w:eastAsia="zh-CN"/>
        </w:rPr>
        <w:t>日</w:t>
      </w:r>
      <w:r>
        <w:rPr>
          <w:rFonts w:hint="eastAsia" w:ascii="仿宋" w:hAnsi="仿宋" w:eastAsia="仿宋"/>
          <w:bCs/>
          <w:color w:val="auto"/>
          <w:sz w:val="21"/>
          <w:szCs w:val="21"/>
          <w:highlight w:val="none"/>
          <w:u w:val="none"/>
          <w:lang w:val="en-US" w:eastAsia="zh-CN"/>
        </w:rPr>
        <w:t>8</w:t>
      </w:r>
      <w:r>
        <w:rPr>
          <w:rFonts w:hint="eastAsia" w:ascii="仿宋" w:hAnsi="仿宋" w:eastAsia="仿宋"/>
          <w:bCs/>
          <w:color w:val="auto"/>
          <w:sz w:val="21"/>
          <w:szCs w:val="21"/>
          <w:highlight w:val="none"/>
          <w:u w:val="none"/>
          <w:lang w:eastAsia="zh-CN"/>
        </w:rPr>
        <w:t>点</w:t>
      </w:r>
      <w:r>
        <w:rPr>
          <w:rFonts w:hint="eastAsia" w:ascii="仿宋" w:hAnsi="仿宋" w:eastAsia="仿宋"/>
          <w:bCs/>
          <w:color w:val="auto"/>
          <w:sz w:val="21"/>
          <w:szCs w:val="21"/>
          <w:highlight w:val="none"/>
          <w:u w:val="none"/>
          <w:lang w:val="en-US" w:eastAsia="zh-CN"/>
        </w:rPr>
        <w:t>30</w:t>
      </w:r>
      <w:r>
        <w:rPr>
          <w:rFonts w:hint="eastAsia" w:ascii="仿宋" w:hAnsi="仿宋" w:eastAsia="仿宋"/>
          <w:bCs/>
          <w:color w:val="auto"/>
          <w:sz w:val="21"/>
          <w:szCs w:val="21"/>
          <w:highlight w:val="none"/>
          <w:u w:val="none"/>
          <w:lang w:eastAsia="zh-CN"/>
        </w:rPr>
        <w:t>分（北京时间），投标人应在投标截止时间前通过滁州市公共资源交易中心交易系统递交电子投标文件。</w:t>
      </w:r>
    </w:p>
    <w:p w14:paraId="6CAEBE01">
      <w:pPr>
        <w:keepNext w:val="0"/>
        <w:keepLines w:val="0"/>
        <w:pageBreakBefore w:val="0"/>
        <w:widowControl w:val="0"/>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bCs/>
          <w:color w:val="auto"/>
          <w:sz w:val="21"/>
          <w:szCs w:val="21"/>
          <w:highlight w:val="none"/>
          <w:u w:val="single"/>
          <w:lang w:eastAsia="zh-CN"/>
        </w:rPr>
      </w:pPr>
      <w:r>
        <w:rPr>
          <w:rFonts w:hint="eastAsia" w:ascii="仿宋" w:hAnsi="仿宋" w:eastAsia="仿宋"/>
          <w:color w:val="auto"/>
          <w:sz w:val="21"/>
          <w:szCs w:val="21"/>
          <w:highlight w:val="none"/>
        </w:rPr>
        <w:t>地点：网上开标，投标人登录滁州市不见面开标系统参与网上开标（网址：https://ggzy.chuzhou.gov.cn/BidOpening/bidopeninghallaction/hall/login）。操作手册见https://ggzy.chuzhou.gov.cn/fwzn/011006/20240510/f0637388-583d-4c69-8331-05b6adfcf24d.html</w:t>
      </w:r>
      <w:r>
        <w:rPr>
          <w:rFonts w:hint="eastAsia" w:ascii="仿宋" w:hAnsi="仿宋" w:eastAsia="仿宋"/>
          <w:color w:val="auto"/>
          <w:sz w:val="21"/>
          <w:szCs w:val="21"/>
          <w:highlight w:val="none"/>
          <w:lang w:eastAsia="zh-CN"/>
        </w:rPr>
        <w:t>。</w:t>
      </w:r>
    </w:p>
    <w:p w14:paraId="250A0ADB">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五、公告期限</w:t>
      </w:r>
    </w:p>
    <w:p w14:paraId="74523C6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自本公告发布之日起5个工作日。</w:t>
      </w:r>
    </w:p>
    <w:p w14:paraId="42E67375">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六、投标保证金金额及缴纳账户</w:t>
      </w:r>
    </w:p>
    <w:p w14:paraId="51F4802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投标保证金金额：4万元，</w:t>
      </w:r>
      <w:r>
        <w:rPr>
          <w:rFonts w:hint="eastAsia" w:ascii="仿宋" w:hAnsi="仿宋" w:eastAsia="仿宋" w:cs="仿宋"/>
          <w:color w:val="auto"/>
          <w:sz w:val="21"/>
          <w:szCs w:val="21"/>
          <w:highlight w:val="none"/>
        </w:rPr>
        <w:t>不要求投标人提交投标保证金。</w:t>
      </w:r>
    </w:p>
    <w:p w14:paraId="45F1863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color w:val="auto"/>
          <w:sz w:val="21"/>
          <w:szCs w:val="21"/>
          <w:highlight w:val="none"/>
        </w:rPr>
      </w:pPr>
      <w:r>
        <w:rPr>
          <w:rFonts w:hint="eastAsia" w:ascii="仿宋" w:hAnsi="仿宋" w:eastAsia="仿宋" w:cs="仿宋"/>
          <w:color w:val="auto"/>
          <w:sz w:val="21"/>
          <w:szCs w:val="21"/>
          <w:highlight w:val="none"/>
        </w:rPr>
        <w:t>本项目不缴纳投标保证金条款仅针对在投标过程中未违反本</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招标文件第二章“投标人须知”中第</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项约定的投标人。如在投标过程中投标人存在本</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招标文件第二章“投标人须知”中第</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项约定情形，则无条件按招标人要求的金额、时间、账号缴纳投标保证金。</w:t>
      </w:r>
    </w:p>
    <w:p w14:paraId="080A51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七、其他补充事宜</w:t>
      </w:r>
    </w:p>
    <w:p w14:paraId="623B6C0C">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15190C2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2.请投标人登录滁州市公共资源交易中心网站查看参加本项</w:t>
      </w:r>
      <w:r>
        <w:rPr>
          <w:rFonts w:hint="eastAsia" w:ascii="仿宋" w:hAnsi="仿宋" w:eastAsia="仿宋" w:cs="仿宋"/>
          <w:color w:val="auto"/>
          <w:sz w:val="21"/>
          <w:szCs w:val="21"/>
          <w:highlight w:val="none"/>
          <w:lang w:eastAsia="zh-CN"/>
        </w:rPr>
        <w:t>目</w:t>
      </w:r>
      <w:r>
        <w:rPr>
          <w:rFonts w:hint="eastAsia" w:ascii="仿宋" w:hAnsi="仿宋" w:eastAsia="仿宋" w:cs="仿宋"/>
          <w:color w:val="auto"/>
          <w:sz w:val="21"/>
          <w:szCs w:val="21"/>
          <w:highlight w:val="none"/>
        </w:rPr>
        <w:t>的程序（具体操作步骤和程序请参见服务指南&gt;交易须知&gt;投标人填写投标信息、下载文件及网上提问操作手册）。</w:t>
      </w:r>
    </w:p>
    <w:p w14:paraId="33FE347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046DC4D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b w:val="0"/>
          <w:bCs w:val="0"/>
          <w:color w:val="auto"/>
          <w:sz w:val="21"/>
          <w:szCs w:val="21"/>
          <w:highlight w:val="none"/>
        </w:rPr>
      </w:pPr>
      <w:r>
        <w:rPr>
          <w:rFonts w:hint="eastAsia" w:ascii="仿宋" w:hAnsi="仿宋" w:eastAsia="仿宋" w:cs="宋体"/>
          <w:color w:val="auto"/>
          <w:sz w:val="21"/>
          <w:szCs w:val="21"/>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1"/>
          <w:szCs w:val="21"/>
          <w:highlight w:val="none"/>
        </w:rPr>
        <w:t>；因</w:t>
      </w:r>
      <w:r>
        <w:rPr>
          <w:rFonts w:hint="eastAsia" w:ascii="仿宋" w:hAnsi="仿宋" w:eastAsia="仿宋" w:cs="宋体"/>
          <w:b w:val="0"/>
          <w:bCs w:val="0"/>
          <w:color w:val="auto"/>
          <w:sz w:val="21"/>
          <w:szCs w:val="21"/>
          <w:highlight w:val="none"/>
          <w:lang w:eastAsia="zh-CN"/>
        </w:rPr>
        <w:t>招标代理机构</w:t>
      </w:r>
      <w:r>
        <w:rPr>
          <w:rFonts w:hint="eastAsia" w:ascii="仿宋" w:hAnsi="仿宋" w:eastAsia="仿宋" w:cs="宋体"/>
          <w:b w:val="0"/>
          <w:bCs w:val="0"/>
          <w:color w:val="auto"/>
          <w:sz w:val="21"/>
          <w:szCs w:val="21"/>
          <w:highlight w:val="none"/>
        </w:rPr>
        <w:t>原因或网上平台发生故障，导致无法按时完成投标文件解密的，经</w:t>
      </w:r>
      <w:r>
        <w:rPr>
          <w:rFonts w:hint="eastAsia" w:ascii="仿宋" w:hAnsi="仿宋" w:eastAsia="仿宋" w:cs="宋体"/>
          <w:b w:val="0"/>
          <w:bCs w:val="0"/>
          <w:color w:val="auto"/>
          <w:sz w:val="21"/>
          <w:szCs w:val="21"/>
          <w:highlight w:val="none"/>
          <w:lang w:eastAsia="zh-CN"/>
        </w:rPr>
        <w:t>招标代理机构</w:t>
      </w:r>
      <w:r>
        <w:rPr>
          <w:rFonts w:hint="eastAsia" w:ascii="仿宋" w:hAnsi="仿宋" w:eastAsia="仿宋" w:cs="宋体"/>
          <w:b w:val="0"/>
          <w:bCs w:val="0"/>
          <w:color w:val="auto"/>
          <w:sz w:val="21"/>
          <w:szCs w:val="21"/>
          <w:highlight w:val="none"/>
        </w:rPr>
        <w:t>申请后可延迟解密时间。</w:t>
      </w:r>
    </w:p>
    <w:p w14:paraId="6124384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5.投标人提出的异议的截止时间及方式：如投标人对招标文件有异议，请于2024年7月20日8时30分（投标截止10日）前在滁州市公共资源交易中心网电子交易系统中进行异议，具体操作步骤和程序请参见服务指南&gt;交易须知&gt;在线异议、质疑和投诉操作手册。</w:t>
      </w:r>
    </w:p>
    <w:p w14:paraId="3854313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6.受理异议的联系人及联系方式：陈星辰，0550-4881051。</w:t>
      </w:r>
    </w:p>
    <w:p w14:paraId="2B54B961">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八、对本次招标提出询问，请按以下方式联系</w:t>
      </w:r>
    </w:p>
    <w:p w14:paraId="49EED96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1.招标人信息</w:t>
      </w:r>
    </w:p>
    <w:p w14:paraId="11A918C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名称：定远县城乡水务投资建设有限公司</w:t>
      </w:r>
    </w:p>
    <w:p w14:paraId="392E48B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地址：安徽省滁州市定远县经开区炉桥路</w:t>
      </w:r>
    </w:p>
    <w:p w14:paraId="0CBF351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联系方式：潘峰，0550-4031772</w:t>
      </w:r>
    </w:p>
    <w:p w14:paraId="3188AE1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2.招标代理机构信息</w:t>
      </w:r>
    </w:p>
    <w:p w14:paraId="77D9DB6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名称：定远县程锦规划勘察建筑设计院有限公司</w:t>
      </w:r>
    </w:p>
    <w:p w14:paraId="338C369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地址：定远县定城镇经开区炉桥路新材料光电产业园16号楼</w:t>
      </w:r>
    </w:p>
    <w:p w14:paraId="392D9EA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联系方式：陈星辰，0550-4881051</w:t>
      </w:r>
    </w:p>
    <w:p w14:paraId="51F00EA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3.项目联系方式</w:t>
      </w:r>
    </w:p>
    <w:p w14:paraId="361268D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项目联系人：潘峰、陈星辰</w:t>
      </w:r>
    </w:p>
    <w:p w14:paraId="15C0627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Times New Roman" w:eastAsia="宋体" w:cs="Times New Roman"/>
          <w:b/>
          <w:color w:val="auto"/>
          <w:sz w:val="28"/>
          <w:szCs w:val="28"/>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footnotePr>
            <w:pos w:val="beneathText"/>
          </w:footnotePr>
          <w:pgSz w:w="11906" w:h="16838"/>
          <w:pgMar w:top="1440" w:right="1466" w:bottom="1440" w:left="1800" w:header="851" w:footer="992" w:gutter="0"/>
          <w:pgNumType w:fmt="decimal"/>
          <w:cols w:space="720" w:num="1"/>
          <w:docGrid w:type="lines" w:linePitch="312" w:charSpace="0"/>
        </w:sectPr>
      </w:pPr>
      <w:r>
        <w:rPr>
          <w:rFonts w:hint="eastAsia" w:ascii="仿宋" w:hAnsi="仿宋" w:eastAsia="仿宋" w:cs="仿宋"/>
          <w:color w:val="auto"/>
          <w:sz w:val="21"/>
          <w:szCs w:val="21"/>
          <w:highlight w:val="none"/>
        </w:rPr>
        <w:t>电话：0550-4031772、0550-4881051</w:t>
      </w:r>
      <w:bookmarkEnd w:id="4"/>
      <w:bookmarkEnd w:id="5"/>
      <w:bookmarkEnd w:id="6"/>
      <w:bookmarkStart w:id="7" w:name="_Toc58430313"/>
      <w:bookmarkStart w:id="8" w:name="_Toc26464"/>
      <w:bookmarkStart w:id="9" w:name="_Toc7039"/>
    </w:p>
    <w:p w14:paraId="2BE1E627">
      <w:pPr>
        <w:pStyle w:val="5"/>
        <w:pageBreakBefore w:val="0"/>
        <w:numPr>
          <w:ilvl w:val="0"/>
          <w:numId w:val="0"/>
        </w:numPr>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宋体"/>
          <w:b/>
          <w:color w:val="auto"/>
          <w:sz w:val="28"/>
          <w:szCs w:val="28"/>
          <w:highlight w:val="none"/>
          <w:lang w:val="en-US" w:eastAsia="zh-CN"/>
        </w:rPr>
      </w:pPr>
      <w:bookmarkStart w:id="10" w:name="_Toc28656"/>
      <w:r>
        <w:rPr>
          <w:rFonts w:hint="eastAsia" w:ascii="宋体"/>
          <w:b/>
          <w:color w:val="auto"/>
          <w:sz w:val="28"/>
          <w:szCs w:val="28"/>
          <w:highlight w:val="none"/>
          <w:lang w:val="en-US" w:eastAsia="zh-CN"/>
        </w:rPr>
        <w:t>第二章 投标人须知</w:t>
      </w:r>
      <w:bookmarkEnd w:id="7"/>
      <w:bookmarkEnd w:id="8"/>
      <w:bookmarkEnd w:id="9"/>
      <w:bookmarkEnd w:id="10"/>
      <w:bookmarkStart w:id="11" w:name="_Toc16291"/>
      <w:bookmarkStart w:id="12" w:name="_Toc449028865"/>
      <w:bookmarkStart w:id="13" w:name="_Toc58430314"/>
      <w:bookmarkStart w:id="14" w:name="_Toc2563"/>
      <w:bookmarkStart w:id="15" w:name="_Toc4251"/>
      <w:bookmarkStart w:id="16" w:name="_Toc32152"/>
    </w:p>
    <w:p w14:paraId="79042ACF">
      <w:pPr>
        <w:jc w:val="center"/>
        <w:outlineLvl w:val="1"/>
        <w:rPr>
          <w:rFonts w:hint="eastAsia" w:ascii="宋体"/>
          <w:b/>
          <w:color w:val="auto"/>
          <w:sz w:val="24"/>
          <w:highlight w:val="none"/>
        </w:rPr>
      </w:pPr>
      <w:bookmarkStart w:id="17" w:name="_Toc591"/>
      <w:bookmarkStart w:id="18" w:name="_Toc32600"/>
      <w:bookmarkStart w:id="19" w:name="_Toc13133"/>
      <w:r>
        <w:rPr>
          <w:rFonts w:hint="eastAsia" w:ascii="宋体"/>
          <w:b/>
          <w:color w:val="auto"/>
          <w:sz w:val="24"/>
          <w:highlight w:val="none"/>
        </w:rPr>
        <w:t>一、投标人须知前附表</w:t>
      </w:r>
      <w:bookmarkEnd w:id="11"/>
      <w:bookmarkEnd w:id="12"/>
      <w:bookmarkEnd w:id="13"/>
      <w:bookmarkEnd w:id="14"/>
      <w:bookmarkEnd w:id="15"/>
      <w:bookmarkEnd w:id="16"/>
      <w:bookmarkEnd w:id="17"/>
      <w:bookmarkEnd w:id="18"/>
      <w:bookmarkEnd w:id="19"/>
    </w:p>
    <w:tbl>
      <w:tblPr>
        <w:tblStyle w:val="23"/>
        <w:tblW w:w="9641"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36"/>
        <w:gridCol w:w="867"/>
        <w:gridCol w:w="1038"/>
        <w:gridCol w:w="6700"/>
      </w:tblGrid>
      <w:tr w14:paraId="0C5D5A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9C9E689">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b/>
                <w:color w:val="auto"/>
                <w:szCs w:val="21"/>
                <w:highlight w:val="none"/>
              </w:rPr>
            </w:pPr>
            <w:r>
              <w:rPr>
                <w:rFonts w:hint="eastAsia" w:hAnsi="宋体" w:cs="宋体"/>
                <w:b/>
                <w:color w:val="auto"/>
                <w:szCs w:val="21"/>
                <w:highlight w:val="none"/>
              </w:rPr>
              <w:t>条款号</w:t>
            </w:r>
          </w:p>
        </w:tc>
        <w:tc>
          <w:tcPr>
            <w:tcW w:w="1905" w:type="dxa"/>
            <w:gridSpan w:val="2"/>
            <w:noWrap w:val="0"/>
            <w:vAlign w:val="center"/>
          </w:tcPr>
          <w:p w14:paraId="250C54DE">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b/>
                <w:color w:val="auto"/>
                <w:szCs w:val="21"/>
                <w:highlight w:val="none"/>
              </w:rPr>
            </w:pPr>
            <w:r>
              <w:rPr>
                <w:rFonts w:hint="eastAsia" w:hAnsi="宋体" w:cs="宋体"/>
                <w:b/>
                <w:color w:val="auto"/>
                <w:szCs w:val="21"/>
                <w:highlight w:val="none"/>
              </w:rPr>
              <w:t>内容</w:t>
            </w:r>
          </w:p>
        </w:tc>
        <w:tc>
          <w:tcPr>
            <w:tcW w:w="6700" w:type="dxa"/>
            <w:noWrap w:val="0"/>
            <w:vAlign w:val="center"/>
          </w:tcPr>
          <w:p w14:paraId="4DA488C4">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b/>
                <w:color w:val="auto"/>
                <w:szCs w:val="21"/>
                <w:highlight w:val="none"/>
              </w:rPr>
            </w:pPr>
            <w:r>
              <w:rPr>
                <w:rFonts w:hint="eastAsia" w:hAnsi="宋体" w:cs="宋体"/>
                <w:b/>
                <w:color w:val="auto"/>
                <w:szCs w:val="21"/>
                <w:highlight w:val="none"/>
              </w:rPr>
              <w:t>说明与要求</w:t>
            </w:r>
          </w:p>
        </w:tc>
      </w:tr>
      <w:tr w14:paraId="5AB92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22D44C33">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1.1</w:t>
            </w:r>
          </w:p>
        </w:tc>
        <w:tc>
          <w:tcPr>
            <w:tcW w:w="1905" w:type="dxa"/>
            <w:gridSpan w:val="2"/>
            <w:noWrap w:val="0"/>
            <w:vAlign w:val="center"/>
          </w:tcPr>
          <w:p w14:paraId="2E2C1D52">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项目名称</w:t>
            </w:r>
          </w:p>
        </w:tc>
        <w:tc>
          <w:tcPr>
            <w:tcW w:w="6700" w:type="dxa"/>
            <w:noWrap w:val="0"/>
            <w:vAlign w:val="center"/>
          </w:tcPr>
          <w:p w14:paraId="5E13335F">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cs="宋体"/>
                <w:color w:val="auto"/>
                <w:szCs w:val="21"/>
                <w:highlight w:val="none"/>
                <w:lang w:eastAsia="zh-CN"/>
              </w:rPr>
            </w:pPr>
            <w:r>
              <w:rPr>
                <w:rFonts w:hint="eastAsia" w:hAnsi="宋体" w:cs="宋体"/>
                <w:color w:val="auto"/>
                <w:szCs w:val="21"/>
                <w:highlight w:val="none"/>
                <w:lang w:eastAsia="zh-CN"/>
              </w:rPr>
              <w:t>定远县城乡水务投资建设有限公司2024年哈夫节采购项目</w:t>
            </w:r>
          </w:p>
        </w:tc>
      </w:tr>
      <w:tr w14:paraId="418DD9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2546F6B3">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1.1</w:t>
            </w:r>
          </w:p>
        </w:tc>
        <w:tc>
          <w:tcPr>
            <w:tcW w:w="1905" w:type="dxa"/>
            <w:gridSpan w:val="2"/>
            <w:noWrap w:val="0"/>
            <w:vAlign w:val="center"/>
          </w:tcPr>
          <w:p w14:paraId="353B220B">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rPr>
              <w:t>项目编号</w:t>
            </w:r>
          </w:p>
        </w:tc>
        <w:tc>
          <w:tcPr>
            <w:tcW w:w="6700" w:type="dxa"/>
            <w:noWrap w:val="0"/>
            <w:vAlign w:val="center"/>
          </w:tcPr>
          <w:p w14:paraId="10FEAE0A">
            <w:pPr>
              <w:pStyle w:val="14"/>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czdyqt202407-004</w:t>
            </w:r>
          </w:p>
        </w:tc>
      </w:tr>
      <w:tr w14:paraId="26C56E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6B811B7">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1.1</w:t>
            </w:r>
          </w:p>
        </w:tc>
        <w:tc>
          <w:tcPr>
            <w:tcW w:w="1905" w:type="dxa"/>
            <w:gridSpan w:val="2"/>
            <w:noWrap w:val="0"/>
            <w:vAlign w:val="center"/>
          </w:tcPr>
          <w:p w14:paraId="699E9ADD">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合同履行期限</w:t>
            </w:r>
          </w:p>
        </w:tc>
        <w:tc>
          <w:tcPr>
            <w:tcW w:w="6700" w:type="dxa"/>
            <w:noWrap w:val="0"/>
            <w:vAlign w:val="center"/>
          </w:tcPr>
          <w:p w14:paraId="68246F1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供货期暂定365日历天（供货期内按招标人需求分批次供货，接到招标人每批次供货需求后7日历天内交付至招标人指定地点）</w:t>
            </w:r>
          </w:p>
        </w:tc>
      </w:tr>
      <w:tr w14:paraId="494500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4057F46C">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1.1</w:t>
            </w:r>
          </w:p>
        </w:tc>
        <w:tc>
          <w:tcPr>
            <w:tcW w:w="1905" w:type="dxa"/>
            <w:gridSpan w:val="2"/>
            <w:noWrap w:val="0"/>
            <w:vAlign w:val="center"/>
          </w:tcPr>
          <w:p w14:paraId="1086DC92">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供货（服务）地点</w:t>
            </w:r>
          </w:p>
        </w:tc>
        <w:tc>
          <w:tcPr>
            <w:tcW w:w="6700" w:type="dxa"/>
            <w:noWrap w:val="0"/>
            <w:vAlign w:val="center"/>
          </w:tcPr>
          <w:p w14:paraId="4ADECBF5">
            <w:pPr>
              <w:pStyle w:val="14"/>
              <w:keepNext w:val="0"/>
              <w:keepLines w:val="0"/>
              <w:pageBreakBefore w:val="0"/>
              <w:kinsoku/>
              <w:wordWrap/>
              <w:overflowPunct/>
              <w:topLinePunct w:val="0"/>
              <w:autoSpaceDE/>
              <w:autoSpaceDN/>
              <w:bidi w:val="0"/>
              <w:adjustRightInd/>
              <w:snapToGrid/>
              <w:spacing w:line="240" w:lineRule="auto"/>
              <w:textAlignment w:val="auto"/>
              <w:rPr>
                <w:rFonts w:hint="default" w:hAnsi="宋体" w:cs="宋体"/>
                <w:color w:val="auto"/>
                <w:szCs w:val="21"/>
                <w:highlight w:val="none"/>
                <w:lang w:val="en-US"/>
              </w:rPr>
            </w:pPr>
            <w:r>
              <w:rPr>
                <w:rFonts w:hint="default" w:hAnsi="宋体" w:cs="宋体"/>
                <w:color w:val="auto"/>
                <w:szCs w:val="21"/>
                <w:highlight w:val="none"/>
                <w:lang w:val="en-US"/>
              </w:rPr>
              <w:t>定远县</w:t>
            </w:r>
          </w:p>
        </w:tc>
      </w:tr>
      <w:tr w14:paraId="19017A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0AE7BDB9">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1.2</w:t>
            </w:r>
          </w:p>
        </w:tc>
        <w:tc>
          <w:tcPr>
            <w:tcW w:w="1905" w:type="dxa"/>
            <w:gridSpan w:val="2"/>
            <w:noWrap w:val="0"/>
            <w:vAlign w:val="center"/>
          </w:tcPr>
          <w:p w14:paraId="5AFC97E1">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lang w:eastAsia="zh-CN"/>
              </w:rPr>
              <w:t>招标人</w:t>
            </w:r>
            <w:r>
              <w:rPr>
                <w:rFonts w:hint="eastAsia" w:hAnsi="宋体" w:cs="宋体"/>
                <w:color w:val="auto"/>
                <w:szCs w:val="21"/>
                <w:highlight w:val="none"/>
              </w:rPr>
              <w:t>联系人及电话</w:t>
            </w:r>
          </w:p>
        </w:tc>
        <w:tc>
          <w:tcPr>
            <w:tcW w:w="6700" w:type="dxa"/>
            <w:noWrap w:val="0"/>
            <w:vAlign w:val="center"/>
          </w:tcPr>
          <w:p w14:paraId="2C512928">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color w:val="auto"/>
                <w:szCs w:val="21"/>
                <w:highlight w:val="none"/>
                <w:lang w:val="en-US" w:eastAsia="zh-CN"/>
              </w:rPr>
            </w:pPr>
            <w:r>
              <w:rPr>
                <w:rFonts w:hint="eastAsia" w:hAnsi="宋体"/>
                <w:color w:val="auto"/>
                <w:szCs w:val="21"/>
                <w:highlight w:val="none"/>
              </w:rPr>
              <w:t>联系人：</w:t>
            </w:r>
            <w:r>
              <w:rPr>
                <w:rFonts w:hint="eastAsia" w:hAnsi="宋体"/>
                <w:color w:val="auto"/>
                <w:szCs w:val="21"/>
                <w:highlight w:val="none"/>
                <w:lang w:val="en-US" w:eastAsia="zh-CN"/>
              </w:rPr>
              <w:t>潘峰</w:t>
            </w:r>
          </w:p>
          <w:p w14:paraId="190CD71F">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cs="宋体"/>
                <w:color w:val="auto"/>
                <w:szCs w:val="21"/>
                <w:highlight w:val="none"/>
                <w:lang w:eastAsia="zh-CN"/>
              </w:rPr>
            </w:pPr>
            <w:r>
              <w:rPr>
                <w:rFonts w:hint="eastAsia" w:hAnsi="宋体"/>
                <w:color w:val="auto"/>
                <w:szCs w:val="21"/>
                <w:highlight w:val="none"/>
              </w:rPr>
              <w:t>电 话：</w:t>
            </w:r>
            <w:r>
              <w:rPr>
                <w:rFonts w:hint="eastAsia" w:hAnsi="宋体" w:cs="宋体"/>
                <w:color w:val="auto"/>
                <w:szCs w:val="21"/>
                <w:highlight w:val="none"/>
                <w:lang w:eastAsia="zh-CN"/>
              </w:rPr>
              <w:t>0550-4031772</w:t>
            </w:r>
          </w:p>
        </w:tc>
      </w:tr>
      <w:tr w14:paraId="2E7F01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551B2AB3">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1.2</w:t>
            </w:r>
          </w:p>
        </w:tc>
        <w:tc>
          <w:tcPr>
            <w:tcW w:w="1905" w:type="dxa"/>
            <w:gridSpan w:val="2"/>
            <w:noWrap w:val="0"/>
            <w:vAlign w:val="center"/>
          </w:tcPr>
          <w:p w14:paraId="2E305664">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lang w:eastAsia="zh-CN"/>
              </w:rPr>
              <w:t>招标代理机构</w:t>
            </w:r>
            <w:r>
              <w:rPr>
                <w:rFonts w:hint="eastAsia" w:hAnsi="宋体" w:cs="宋体"/>
                <w:color w:val="auto"/>
                <w:szCs w:val="21"/>
                <w:highlight w:val="none"/>
              </w:rPr>
              <w:t>联系人及电话</w:t>
            </w:r>
          </w:p>
        </w:tc>
        <w:tc>
          <w:tcPr>
            <w:tcW w:w="6700" w:type="dxa"/>
            <w:noWrap w:val="0"/>
            <w:vAlign w:val="center"/>
          </w:tcPr>
          <w:p w14:paraId="33AC6345">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olor w:val="auto"/>
                <w:szCs w:val="21"/>
                <w:highlight w:val="none"/>
              </w:rPr>
            </w:pPr>
            <w:r>
              <w:rPr>
                <w:rFonts w:hint="eastAsia" w:hAnsi="宋体"/>
                <w:color w:val="auto"/>
                <w:szCs w:val="21"/>
                <w:highlight w:val="none"/>
              </w:rPr>
              <w:t>联系人：</w:t>
            </w:r>
            <w:r>
              <w:rPr>
                <w:rFonts w:hint="eastAsia"/>
                <w:color w:val="auto"/>
                <w:highlight w:val="none"/>
                <w:lang w:val="en-US" w:eastAsia="zh-CN"/>
              </w:rPr>
              <w:t>陈星辰</w:t>
            </w:r>
            <w:r>
              <w:rPr>
                <w:rFonts w:hint="eastAsia" w:hAnsi="宋体" w:cs="宋体"/>
                <w:color w:val="auto"/>
                <w:szCs w:val="21"/>
                <w:highlight w:val="none"/>
              </w:rPr>
              <w:t xml:space="preserve"> </w:t>
            </w:r>
            <w:r>
              <w:rPr>
                <w:rFonts w:hint="eastAsia" w:hAnsi="宋体"/>
                <w:color w:val="auto"/>
                <w:szCs w:val="21"/>
                <w:highlight w:val="none"/>
              </w:rPr>
              <w:t xml:space="preserve"> </w:t>
            </w:r>
          </w:p>
          <w:p w14:paraId="1276DF50">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cs="宋体"/>
                <w:color w:val="auto"/>
                <w:szCs w:val="21"/>
                <w:highlight w:val="none"/>
                <w:lang w:eastAsia="zh-CN"/>
              </w:rPr>
            </w:pPr>
            <w:r>
              <w:rPr>
                <w:rFonts w:hint="eastAsia" w:hAnsi="宋体"/>
                <w:color w:val="auto"/>
                <w:szCs w:val="21"/>
                <w:highlight w:val="none"/>
              </w:rPr>
              <w:t>电 话：</w:t>
            </w:r>
            <w:r>
              <w:rPr>
                <w:rFonts w:hint="eastAsia" w:hAnsi="宋体"/>
                <w:color w:val="auto"/>
                <w:szCs w:val="21"/>
                <w:highlight w:val="none"/>
                <w:lang w:eastAsia="zh-CN"/>
              </w:rPr>
              <w:t>0550-4881051</w:t>
            </w:r>
          </w:p>
        </w:tc>
      </w:tr>
      <w:tr w14:paraId="6C9611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2D0D27F3">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1.3</w:t>
            </w:r>
          </w:p>
        </w:tc>
        <w:tc>
          <w:tcPr>
            <w:tcW w:w="1905" w:type="dxa"/>
            <w:gridSpan w:val="2"/>
            <w:noWrap w:val="0"/>
            <w:vAlign w:val="center"/>
          </w:tcPr>
          <w:p w14:paraId="62A9A0CE">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 xml:space="preserve">资金来源                                                                                                                                                                 </w:t>
            </w:r>
          </w:p>
        </w:tc>
        <w:tc>
          <w:tcPr>
            <w:tcW w:w="6700" w:type="dxa"/>
            <w:noWrap w:val="0"/>
            <w:vAlign w:val="center"/>
          </w:tcPr>
          <w:p w14:paraId="5DF04EDF">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lang w:eastAsia="zh-CN"/>
              </w:rPr>
              <w:t>自筹</w:t>
            </w:r>
            <w:r>
              <w:rPr>
                <w:rFonts w:hint="eastAsia" w:hAnsi="宋体" w:cs="宋体"/>
                <w:color w:val="auto"/>
                <w:szCs w:val="21"/>
                <w:highlight w:val="none"/>
              </w:rPr>
              <w:t>资金</w:t>
            </w:r>
          </w:p>
        </w:tc>
      </w:tr>
      <w:tr w14:paraId="0C8B50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88C977D">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1.4</w:t>
            </w:r>
          </w:p>
        </w:tc>
        <w:tc>
          <w:tcPr>
            <w:tcW w:w="1905" w:type="dxa"/>
            <w:gridSpan w:val="2"/>
            <w:noWrap w:val="0"/>
            <w:vAlign w:val="center"/>
          </w:tcPr>
          <w:p w14:paraId="34824986">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lang w:val="en-US" w:eastAsia="zh-CN"/>
              </w:rPr>
              <w:t>项目</w:t>
            </w:r>
            <w:r>
              <w:rPr>
                <w:rFonts w:hint="eastAsia" w:hAnsi="宋体" w:cs="宋体"/>
                <w:color w:val="auto"/>
                <w:szCs w:val="21"/>
                <w:highlight w:val="none"/>
              </w:rPr>
              <w:t>预算</w:t>
            </w:r>
          </w:p>
        </w:tc>
        <w:tc>
          <w:tcPr>
            <w:tcW w:w="6700" w:type="dxa"/>
            <w:noWrap w:val="0"/>
            <w:vAlign w:val="center"/>
          </w:tcPr>
          <w:p w14:paraId="1291807A">
            <w:pPr>
              <w:pStyle w:val="14"/>
              <w:keepNext w:val="0"/>
              <w:keepLines w:val="0"/>
              <w:pageBreakBefore w:val="0"/>
              <w:kinsoku/>
              <w:wordWrap/>
              <w:overflowPunct/>
              <w:topLinePunct w:val="0"/>
              <w:autoSpaceDE/>
              <w:autoSpaceDN/>
              <w:bidi w:val="0"/>
              <w:adjustRightInd/>
              <w:snapToGrid/>
              <w:spacing w:line="240" w:lineRule="auto"/>
              <w:textAlignment w:val="auto"/>
              <w:rPr>
                <w:rFonts w:hAnsi="宋体" w:cs="宋体"/>
                <w:color w:val="auto"/>
                <w:szCs w:val="21"/>
                <w:highlight w:val="none"/>
              </w:rPr>
            </w:pPr>
            <w:r>
              <w:rPr>
                <w:rFonts w:hint="eastAsia" w:ascii="仿宋" w:hAnsi="仿宋" w:eastAsia="仿宋"/>
                <w:color w:val="auto"/>
                <w:sz w:val="21"/>
                <w:szCs w:val="21"/>
                <w:highlight w:val="none"/>
                <w:lang w:val="en-US" w:eastAsia="zh-CN"/>
              </w:rPr>
              <w:t>215.7788</w:t>
            </w:r>
            <w:r>
              <w:rPr>
                <w:rFonts w:hint="eastAsia" w:hAnsi="宋体" w:cs="宋体"/>
                <w:color w:val="auto"/>
                <w:szCs w:val="21"/>
                <w:highlight w:val="none"/>
                <w:lang w:val="en-US" w:eastAsia="zh-CN"/>
              </w:rPr>
              <w:t>万元</w:t>
            </w:r>
          </w:p>
        </w:tc>
      </w:tr>
      <w:tr w14:paraId="78F9C7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7F0AE36E">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1.5</w:t>
            </w:r>
          </w:p>
        </w:tc>
        <w:tc>
          <w:tcPr>
            <w:tcW w:w="1905" w:type="dxa"/>
            <w:gridSpan w:val="2"/>
            <w:noWrap w:val="0"/>
            <w:vAlign w:val="center"/>
          </w:tcPr>
          <w:p w14:paraId="5CB3AA9C">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最高限价</w:t>
            </w:r>
          </w:p>
        </w:tc>
        <w:tc>
          <w:tcPr>
            <w:tcW w:w="6700" w:type="dxa"/>
            <w:noWrap w:val="0"/>
            <w:vAlign w:val="center"/>
          </w:tcPr>
          <w:p w14:paraId="4AB0FF0D">
            <w:pPr>
              <w:pStyle w:val="14"/>
              <w:keepNext w:val="0"/>
              <w:keepLines w:val="0"/>
              <w:pageBreakBefore w:val="0"/>
              <w:kinsoku/>
              <w:wordWrap/>
              <w:overflowPunct/>
              <w:topLinePunct w:val="0"/>
              <w:autoSpaceDE/>
              <w:autoSpaceDN/>
              <w:bidi w:val="0"/>
              <w:adjustRightInd/>
              <w:snapToGrid/>
              <w:spacing w:line="240" w:lineRule="auto"/>
              <w:textAlignment w:val="auto"/>
              <w:rPr>
                <w:rFonts w:hAnsi="宋体" w:cs="宋体"/>
                <w:color w:val="auto"/>
                <w:szCs w:val="21"/>
                <w:highlight w:val="none"/>
              </w:rPr>
            </w:pPr>
            <w:r>
              <w:rPr>
                <w:rFonts w:hint="eastAsia" w:ascii="仿宋" w:hAnsi="仿宋" w:eastAsia="仿宋"/>
                <w:color w:val="auto"/>
                <w:sz w:val="21"/>
                <w:szCs w:val="21"/>
                <w:highlight w:val="none"/>
                <w:lang w:val="en-US" w:eastAsia="zh-CN"/>
              </w:rPr>
              <w:t>215.7788</w:t>
            </w:r>
            <w:r>
              <w:rPr>
                <w:rFonts w:hint="eastAsia" w:hAnsi="宋体" w:cs="宋体"/>
                <w:color w:val="auto"/>
                <w:szCs w:val="21"/>
                <w:highlight w:val="none"/>
                <w:lang w:val="en-US" w:eastAsia="zh-CN"/>
              </w:rPr>
              <w:t>万元。投标报价不得高于最高限价，否则按无效标处理</w:t>
            </w:r>
          </w:p>
        </w:tc>
      </w:tr>
      <w:tr w14:paraId="414BC2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306C13FC">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2.1</w:t>
            </w:r>
          </w:p>
        </w:tc>
        <w:tc>
          <w:tcPr>
            <w:tcW w:w="1905" w:type="dxa"/>
            <w:gridSpan w:val="2"/>
            <w:noWrap w:val="0"/>
            <w:vAlign w:val="center"/>
          </w:tcPr>
          <w:p w14:paraId="23D144DA">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采购内容</w:t>
            </w:r>
          </w:p>
        </w:tc>
        <w:tc>
          <w:tcPr>
            <w:tcW w:w="6700" w:type="dxa"/>
            <w:noWrap w:val="0"/>
            <w:vAlign w:val="center"/>
          </w:tcPr>
          <w:p w14:paraId="1106B366">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约8340只哈夫节</w:t>
            </w:r>
            <w:r>
              <w:rPr>
                <w:rFonts w:hint="eastAsia" w:hAnsi="宋体" w:cs="宋体"/>
                <w:color w:val="auto"/>
                <w:szCs w:val="21"/>
                <w:highlight w:val="none"/>
                <w:lang w:eastAsia="zh-CN"/>
              </w:rPr>
              <w:t>，具体要求详见招标文件</w:t>
            </w:r>
            <w:r>
              <w:rPr>
                <w:rFonts w:hint="eastAsia" w:hAnsi="宋体" w:cs="宋体"/>
                <w:color w:val="auto"/>
                <w:szCs w:val="21"/>
                <w:highlight w:val="none"/>
                <w:lang w:val="en-US" w:eastAsia="zh-CN"/>
              </w:rPr>
              <w:t>第四章采购需求及技术参数要求</w:t>
            </w:r>
            <w:r>
              <w:rPr>
                <w:rFonts w:hint="eastAsia" w:hAnsi="宋体" w:cs="宋体"/>
                <w:color w:val="auto"/>
                <w:szCs w:val="21"/>
                <w:highlight w:val="none"/>
                <w:lang w:eastAsia="zh-CN"/>
              </w:rPr>
              <w:t>。</w:t>
            </w:r>
          </w:p>
        </w:tc>
      </w:tr>
      <w:tr w14:paraId="0E04A3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399D294C">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3.1</w:t>
            </w:r>
          </w:p>
        </w:tc>
        <w:tc>
          <w:tcPr>
            <w:tcW w:w="1905" w:type="dxa"/>
            <w:gridSpan w:val="2"/>
            <w:noWrap w:val="0"/>
            <w:vAlign w:val="center"/>
          </w:tcPr>
          <w:p w14:paraId="10ACBADD">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标包划分</w:t>
            </w:r>
          </w:p>
        </w:tc>
        <w:tc>
          <w:tcPr>
            <w:tcW w:w="6700" w:type="dxa"/>
            <w:noWrap w:val="0"/>
            <w:vAlign w:val="center"/>
          </w:tcPr>
          <w:p w14:paraId="62FA3402">
            <w:pPr>
              <w:pStyle w:val="14"/>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cs="宋体"/>
                <w:color w:val="auto"/>
                <w:szCs w:val="21"/>
                <w:highlight w:val="none"/>
                <w:lang w:val="en-US" w:eastAsia="zh-CN"/>
              </w:rPr>
            </w:pPr>
            <w:r>
              <w:rPr>
                <w:rFonts w:hint="eastAsia" w:hAnsi="宋体" w:cs="宋体"/>
                <w:color w:val="auto"/>
                <w:szCs w:val="21"/>
                <w:highlight w:val="none"/>
              </w:rPr>
              <w:t>本项目划分为</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一</w:t>
            </w:r>
            <w:r>
              <w:rPr>
                <w:rFonts w:hint="eastAsia" w:hAnsi="宋体" w:cs="宋体"/>
                <w:color w:val="auto"/>
                <w:szCs w:val="21"/>
                <w:highlight w:val="none"/>
                <w:u w:val="single"/>
              </w:rPr>
              <w:t xml:space="preserve"> </w:t>
            </w:r>
            <w:r>
              <w:rPr>
                <w:rFonts w:hint="eastAsia" w:hAnsi="宋体" w:cs="宋体"/>
                <w:color w:val="auto"/>
                <w:szCs w:val="21"/>
                <w:highlight w:val="none"/>
              </w:rPr>
              <w:t>个标包</w:t>
            </w:r>
          </w:p>
        </w:tc>
      </w:tr>
      <w:tr w14:paraId="58BFC9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79533D7">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4.1</w:t>
            </w:r>
          </w:p>
        </w:tc>
        <w:tc>
          <w:tcPr>
            <w:tcW w:w="1905" w:type="dxa"/>
            <w:gridSpan w:val="2"/>
            <w:noWrap w:val="0"/>
            <w:vAlign w:val="center"/>
          </w:tcPr>
          <w:p w14:paraId="7C73699C">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招标方式</w:t>
            </w:r>
          </w:p>
        </w:tc>
        <w:tc>
          <w:tcPr>
            <w:tcW w:w="6700" w:type="dxa"/>
            <w:noWrap w:val="0"/>
            <w:vAlign w:val="center"/>
          </w:tcPr>
          <w:p w14:paraId="7EF938F9">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rPr>
              <w:t>公开招标</w:t>
            </w:r>
          </w:p>
        </w:tc>
      </w:tr>
      <w:tr w14:paraId="06BA63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42290081">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7.2</w:t>
            </w:r>
          </w:p>
        </w:tc>
        <w:tc>
          <w:tcPr>
            <w:tcW w:w="1905" w:type="dxa"/>
            <w:gridSpan w:val="2"/>
            <w:noWrap w:val="0"/>
            <w:vAlign w:val="center"/>
          </w:tcPr>
          <w:p w14:paraId="42D2D3F2">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投标人资格条件及其他要求</w:t>
            </w:r>
          </w:p>
        </w:tc>
        <w:tc>
          <w:tcPr>
            <w:tcW w:w="6700" w:type="dxa"/>
            <w:noWrap w:val="0"/>
            <w:vAlign w:val="center"/>
          </w:tcPr>
          <w:p w14:paraId="7AFE4FD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详见第一章“招标公告”</w:t>
            </w:r>
          </w:p>
        </w:tc>
      </w:tr>
      <w:tr w14:paraId="673E37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E3B63BC">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9.1</w:t>
            </w:r>
          </w:p>
        </w:tc>
        <w:tc>
          <w:tcPr>
            <w:tcW w:w="1905" w:type="dxa"/>
            <w:gridSpan w:val="2"/>
            <w:noWrap w:val="0"/>
            <w:vAlign w:val="center"/>
          </w:tcPr>
          <w:p w14:paraId="098414B6">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踏勘现场</w:t>
            </w:r>
          </w:p>
        </w:tc>
        <w:tc>
          <w:tcPr>
            <w:tcW w:w="6700" w:type="dxa"/>
            <w:noWrap w:val="0"/>
            <w:vAlign w:val="center"/>
          </w:tcPr>
          <w:p w14:paraId="773E43CF">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rPr>
              <w:t>不组织,投标人自行踏勘现场。</w:t>
            </w:r>
          </w:p>
        </w:tc>
      </w:tr>
      <w:tr w14:paraId="4FDA96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EA3E266">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10.1</w:t>
            </w:r>
          </w:p>
        </w:tc>
        <w:tc>
          <w:tcPr>
            <w:tcW w:w="1905" w:type="dxa"/>
            <w:gridSpan w:val="2"/>
            <w:noWrap w:val="0"/>
            <w:vAlign w:val="center"/>
          </w:tcPr>
          <w:p w14:paraId="0C68F56B">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投标预备会</w:t>
            </w:r>
          </w:p>
        </w:tc>
        <w:tc>
          <w:tcPr>
            <w:tcW w:w="6700" w:type="dxa"/>
            <w:noWrap w:val="0"/>
            <w:vAlign w:val="center"/>
          </w:tcPr>
          <w:p w14:paraId="5825F097">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rPr>
              <w:t>不召开</w:t>
            </w:r>
          </w:p>
        </w:tc>
      </w:tr>
      <w:tr w14:paraId="65D8A8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0169471C">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10.2</w:t>
            </w:r>
          </w:p>
        </w:tc>
        <w:tc>
          <w:tcPr>
            <w:tcW w:w="1905" w:type="dxa"/>
            <w:gridSpan w:val="2"/>
            <w:noWrap w:val="0"/>
            <w:vAlign w:val="center"/>
          </w:tcPr>
          <w:p w14:paraId="5A2FC362">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投标人</w:t>
            </w:r>
            <w:r>
              <w:rPr>
                <w:rFonts w:hint="eastAsia" w:hAnsi="宋体" w:cs="宋体"/>
                <w:color w:val="auto"/>
                <w:szCs w:val="21"/>
                <w:highlight w:val="none"/>
                <w:u w:val="none" w:color="auto"/>
              </w:rPr>
              <w:t>提出疑问的截止时间及方式</w:t>
            </w:r>
          </w:p>
        </w:tc>
        <w:tc>
          <w:tcPr>
            <w:tcW w:w="6700" w:type="dxa"/>
            <w:noWrap w:val="0"/>
            <w:vAlign w:val="center"/>
          </w:tcPr>
          <w:p w14:paraId="685B6BF7">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u w:val="none" w:color="auto"/>
              </w:rPr>
              <w:t>如投标人对招标文件有疑问，请于</w:t>
            </w:r>
            <w:r>
              <w:rPr>
                <w:rFonts w:hint="eastAsia" w:hAnsi="宋体" w:cs="宋体"/>
                <w:b/>
                <w:bCs/>
                <w:color w:val="auto"/>
                <w:szCs w:val="21"/>
                <w:highlight w:val="none"/>
                <w:u w:val="none" w:color="auto"/>
                <w:lang w:val="en-US" w:eastAsia="zh-CN"/>
              </w:rPr>
              <w:t>2024</w:t>
            </w:r>
            <w:r>
              <w:rPr>
                <w:rFonts w:hint="eastAsia" w:hAnsi="宋体" w:cs="宋体"/>
                <w:b/>
                <w:bCs/>
                <w:color w:val="auto"/>
                <w:szCs w:val="21"/>
                <w:highlight w:val="none"/>
                <w:u w:val="none" w:color="auto"/>
              </w:rPr>
              <w:t>年</w:t>
            </w:r>
            <w:r>
              <w:rPr>
                <w:rFonts w:hint="eastAsia" w:hAnsi="宋体" w:cs="宋体"/>
                <w:b/>
                <w:bCs/>
                <w:color w:val="auto"/>
                <w:szCs w:val="21"/>
                <w:highlight w:val="none"/>
                <w:u w:val="none" w:color="auto"/>
                <w:lang w:val="en-US" w:eastAsia="zh-CN"/>
              </w:rPr>
              <w:t>7</w:t>
            </w:r>
            <w:r>
              <w:rPr>
                <w:rFonts w:hint="eastAsia" w:hAnsi="宋体" w:cs="宋体"/>
                <w:b/>
                <w:bCs/>
                <w:color w:val="auto"/>
                <w:szCs w:val="21"/>
                <w:highlight w:val="none"/>
                <w:u w:val="none" w:color="auto"/>
              </w:rPr>
              <w:t>月</w:t>
            </w:r>
            <w:r>
              <w:rPr>
                <w:rFonts w:hint="eastAsia" w:hAnsi="宋体" w:cs="宋体"/>
                <w:b/>
                <w:bCs/>
                <w:color w:val="auto"/>
                <w:szCs w:val="21"/>
                <w:highlight w:val="none"/>
                <w:u w:val="none" w:color="auto"/>
                <w:lang w:val="en-US" w:eastAsia="zh-CN"/>
              </w:rPr>
              <w:t>20</w:t>
            </w:r>
            <w:r>
              <w:rPr>
                <w:rFonts w:hint="eastAsia" w:hAnsi="宋体" w:cs="宋体"/>
                <w:b/>
                <w:bCs/>
                <w:color w:val="auto"/>
                <w:szCs w:val="21"/>
                <w:highlight w:val="none"/>
                <w:u w:val="none" w:color="auto"/>
              </w:rPr>
              <w:t>日</w:t>
            </w:r>
            <w:r>
              <w:rPr>
                <w:rFonts w:hint="eastAsia" w:hAnsi="宋体" w:cs="宋体"/>
                <w:b/>
                <w:bCs/>
                <w:color w:val="auto"/>
                <w:szCs w:val="21"/>
                <w:highlight w:val="none"/>
                <w:u w:val="none" w:color="auto"/>
                <w:lang w:val="en-US" w:eastAsia="zh-CN"/>
              </w:rPr>
              <w:t>8</w:t>
            </w:r>
            <w:r>
              <w:rPr>
                <w:rFonts w:hint="eastAsia" w:hAnsi="宋体" w:cs="宋体"/>
                <w:b/>
                <w:bCs/>
                <w:color w:val="auto"/>
                <w:szCs w:val="21"/>
                <w:highlight w:val="none"/>
                <w:u w:val="none" w:color="auto"/>
              </w:rPr>
              <w:t>时</w:t>
            </w:r>
            <w:r>
              <w:rPr>
                <w:rFonts w:hint="eastAsia" w:hAnsi="宋体" w:cs="宋体"/>
                <w:b/>
                <w:bCs/>
                <w:color w:val="auto"/>
                <w:szCs w:val="21"/>
                <w:highlight w:val="none"/>
                <w:u w:val="none" w:color="auto"/>
                <w:lang w:val="en-US" w:eastAsia="zh-CN"/>
              </w:rPr>
              <w:t>30分</w:t>
            </w:r>
            <w:r>
              <w:rPr>
                <w:rFonts w:hint="eastAsia" w:hAnsi="宋体" w:cs="宋体"/>
                <w:color w:val="auto"/>
                <w:szCs w:val="21"/>
                <w:highlight w:val="none"/>
                <w:u w:val="none" w:color="auto"/>
              </w:rPr>
              <w:t>（投标截止10日）前</w:t>
            </w:r>
            <w:bookmarkStart w:id="20" w:name="_Hlk61815279"/>
            <w:r>
              <w:rPr>
                <w:rFonts w:hint="eastAsia" w:hAnsi="宋体" w:cs="宋体"/>
                <w:color w:val="auto"/>
                <w:szCs w:val="21"/>
                <w:highlight w:val="none"/>
                <w:u w:val="none" w:color="auto"/>
              </w:rPr>
              <w:t xml:space="preserve">在滁州市公共资源交易中心网电子交易系统中进行异议（质疑），具体操作步骤和程序请参见服务指南&gt;交易须知&gt;在线异议、质疑和投诉操作手册。 </w:t>
            </w:r>
            <w:bookmarkEnd w:id="20"/>
          </w:p>
        </w:tc>
      </w:tr>
      <w:tr w14:paraId="165FEB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B37305E">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10.3</w:t>
            </w:r>
          </w:p>
        </w:tc>
        <w:tc>
          <w:tcPr>
            <w:tcW w:w="1905" w:type="dxa"/>
            <w:gridSpan w:val="2"/>
            <w:noWrap w:val="0"/>
            <w:vAlign w:val="center"/>
          </w:tcPr>
          <w:p w14:paraId="3DBA45C1">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lang w:eastAsia="zh-CN"/>
              </w:rPr>
              <w:t>招标人</w:t>
            </w:r>
            <w:r>
              <w:rPr>
                <w:rFonts w:hint="eastAsia" w:hAnsi="宋体" w:cs="宋体"/>
                <w:color w:val="auto"/>
                <w:szCs w:val="21"/>
                <w:highlight w:val="none"/>
              </w:rPr>
              <w:t>澄清的时间及方式</w:t>
            </w:r>
          </w:p>
        </w:tc>
        <w:tc>
          <w:tcPr>
            <w:tcW w:w="6700" w:type="dxa"/>
            <w:noWrap w:val="0"/>
            <w:vAlign w:val="center"/>
          </w:tcPr>
          <w:p w14:paraId="0D93F63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b/>
                <w:bCs/>
                <w:color w:val="auto"/>
                <w:szCs w:val="21"/>
                <w:highlight w:val="none"/>
                <w:u w:val="none" w:color="000000"/>
                <w:lang w:val="en-US" w:eastAsia="zh-CN"/>
              </w:rPr>
              <w:t>2024</w:t>
            </w:r>
            <w:r>
              <w:rPr>
                <w:rFonts w:hint="eastAsia" w:ascii="宋体" w:hAnsi="宋体" w:cs="宋体"/>
                <w:b/>
                <w:bCs/>
                <w:color w:val="auto"/>
                <w:szCs w:val="21"/>
                <w:highlight w:val="none"/>
                <w:u w:val="none" w:color="000000"/>
              </w:rPr>
              <w:t>年</w:t>
            </w:r>
            <w:r>
              <w:rPr>
                <w:rFonts w:hint="eastAsia" w:ascii="宋体" w:hAnsi="宋体" w:cs="宋体"/>
                <w:b/>
                <w:bCs/>
                <w:color w:val="auto"/>
                <w:szCs w:val="21"/>
                <w:highlight w:val="none"/>
                <w:u w:val="none" w:color="000000"/>
                <w:lang w:val="en-US" w:eastAsia="zh-CN"/>
              </w:rPr>
              <w:t>7</w:t>
            </w:r>
            <w:r>
              <w:rPr>
                <w:rFonts w:hint="eastAsia" w:ascii="宋体" w:hAnsi="宋体" w:cs="宋体"/>
                <w:b/>
                <w:bCs/>
                <w:color w:val="auto"/>
                <w:szCs w:val="21"/>
                <w:highlight w:val="none"/>
                <w:u w:val="none" w:color="000000"/>
              </w:rPr>
              <w:t>月</w:t>
            </w:r>
            <w:r>
              <w:rPr>
                <w:rFonts w:hint="eastAsia" w:ascii="宋体" w:hAnsi="宋体" w:cs="宋体"/>
                <w:b/>
                <w:bCs/>
                <w:color w:val="auto"/>
                <w:szCs w:val="21"/>
                <w:highlight w:val="none"/>
                <w:u w:val="none" w:color="000000"/>
                <w:lang w:val="en-US" w:eastAsia="zh-CN"/>
              </w:rPr>
              <w:t>21</w:t>
            </w:r>
            <w:r>
              <w:rPr>
                <w:rFonts w:hint="eastAsia" w:ascii="宋体" w:hAnsi="宋体" w:cs="宋体"/>
                <w:b/>
                <w:bCs/>
                <w:color w:val="auto"/>
                <w:szCs w:val="21"/>
                <w:highlight w:val="none"/>
                <w:u w:val="none" w:color="000000"/>
              </w:rPr>
              <w:t>日17时</w:t>
            </w:r>
            <w:r>
              <w:rPr>
                <w:rFonts w:hint="eastAsia" w:ascii="宋体" w:hAnsi="宋体" w:cs="宋体"/>
                <w:b/>
                <w:bCs/>
                <w:color w:val="auto"/>
                <w:szCs w:val="21"/>
                <w:highlight w:val="none"/>
              </w:rPr>
              <w:t>前</w:t>
            </w:r>
            <w:r>
              <w:rPr>
                <w:rFonts w:hint="eastAsia" w:ascii="宋体" w:hAnsi="宋体" w:cs="宋体"/>
                <w:color w:val="auto"/>
                <w:szCs w:val="21"/>
                <w:highlight w:val="none"/>
              </w:rPr>
              <w:t>以澄清公告形式在滁州市公共资源交易网（http://ggzy.chuzhou.gov.cn/）“答疑澄清文件”栏目予以公告。</w:t>
            </w:r>
          </w:p>
        </w:tc>
      </w:tr>
      <w:tr w14:paraId="7DF259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B2CA00A">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11.1</w:t>
            </w:r>
          </w:p>
        </w:tc>
        <w:tc>
          <w:tcPr>
            <w:tcW w:w="1905" w:type="dxa"/>
            <w:gridSpan w:val="2"/>
            <w:noWrap w:val="0"/>
            <w:vAlign w:val="center"/>
          </w:tcPr>
          <w:p w14:paraId="09B6A048">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联合体投标</w:t>
            </w:r>
          </w:p>
        </w:tc>
        <w:tc>
          <w:tcPr>
            <w:tcW w:w="6700" w:type="dxa"/>
            <w:noWrap w:val="0"/>
            <w:vAlign w:val="center"/>
          </w:tcPr>
          <w:p w14:paraId="605620B7">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rPr>
              <w:t>本次招标</w:t>
            </w:r>
            <w:r>
              <w:rPr>
                <w:rFonts w:hint="eastAsia" w:hAnsi="宋体" w:cs="宋体"/>
                <w:color w:val="auto"/>
                <w:szCs w:val="21"/>
                <w:highlight w:val="none"/>
                <w:u w:val="none" w:color="auto"/>
              </w:rPr>
              <w:t>不接受</w:t>
            </w:r>
            <w:r>
              <w:rPr>
                <w:rFonts w:hint="eastAsia" w:hAnsi="宋体" w:cs="宋体"/>
                <w:color w:val="auto"/>
                <w:szCs w:val="21"/>
                <w:highlight w:val="none"/>
              </w:rPr>
              <w:t>联合体投标</w:t>
            </w:r>
          </w:p>
        </w:tc>
      </w:tr>
      <w:tr w14:paraId="3B5A0C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0DA9C6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12.1</w:t>
            </w:r>
          </w:p>
        </w:tc>
        <w:tc>
          <w:tcPr>
            <w:tcW w:w="1905" w:type="dxa"/>
            <w:gridSpan w:val="2"/>
            <w:noWrap w:val="0"/>
            <w:vAlign w:val="center"/>
          </w:tcPr>
          <w:p w14:paraId="2816E32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招标代理费</w:t>
            </w:r>
          </w:p>
        </w:tc>
        <w:tc>
          <w:tcPr>
            <w:tcW w:w="6700" w:type="dxa"/>
            <w:noWrap w:val="0"/>
            <w:vAlign w:val="center"/>
          </w:tcPr>
          <w:p w14:paraId="72C06BC9">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lang w:val="en-US" w:eastAsia="zh-CN"/>
              </w:rPr>
            </w:pPr>
            <w:r>
              <w:rPr>
                <w:rFonts w:hint="eastAsia" w:hAnsi="宋体" w:cs="宋体"/>
                <w:color w:val="auto"/>
                <w:szCs w:val="21"/>
                <w:highlight w:val="none"/>
                <w:lang w:val="en-US" w:eastAsia="zh-CN"/>
              </w:rPr>
              <w:t>本次招标代理服务费向中标人收取。本项目代理服务费13800元。投标人在报价时应综合考虑以上费用，中标单位在领取中标通知书前向代理单位交纳以上费用。</w:t>
            </w:r>
          </w:p>
          <w:p w14:paraId="2FA90B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cs="宋体"/>
                <w:color w:val="auto"/>
                <w:szCs w:val="21"/>
                <w:highlight w:val="none"/>
              </w:rPr>
            </w:pPr>
            <w:r>
              <w:rPr>
                <w:rFonts w:hint="eastAsia" w:hAnsi="宋体" w:cs="宋体"/>
                <w:color w:val="auto"/>
                <w:szCs w:val="21"/>
                <w:highlight w:val="none"/>
                <w:lang w:val="en-US" w:eastAsia="zh-CN"/>
              </w:rPr>
              <w:t>专家评审费支付主体：招标人或招标代理机构</w:t>
            </w:r>
          </w:p>
        </w:tc>
      </w:tr>
      <w:tr w14:paraId="068DF3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259ED9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16.3</w:t>
            </w:r>
          </w:p>
        </w:tc>
        <w:tc>
          <w:tcPr>
            <w:tcW w:w="1905" w:type="dxa"/>
            <w:gridSpan w:val="2"/>
            <w:noWrap w:val="0"/>
            <w:vAlign w:val="center"/>
          </w:tcPr>
          <w:p w14:paraId="4BD08E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700" w:type="dxa"/>
            <w:noWrap w:val="0"/>
            <w:vAlign w:val="center"/>
          </w:tcPr>
          <w:p w14:paraId="50FD760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同表10.2款</w:t>
            </w:r>
          </w:p>
        </w:tc>
      </w:tr>
      <w:tr w14:paraId="3454E2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75346A60">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23.1</w:t>
            </w:r>
          </w:p>
        </w:tc>
        <w:tc>
          <w:tcPr>
            <w:tcW w:w="1905" w:type="dxa"/>
            <w:gridSpan w:val="2"/>
            <w:noWrap w:val="0"/>
            <w:vAlign w:val="center"/>
          </w:tcPr>
          <w:p w14:paraId="3EBB7873">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投标有效期</w:t>
            </w:r>
          </w:p>
        </w:tc>
        <w:tc>
          <w:tcPr>
            <w:tcW w:w="6700" w:type="dxa"/>
            <w:noWrap w:val="0"/>
            <w:vAlign w:val="center"/>
          </w:tcPr>
          <w:p w14:paraId="6C0519DB">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90</w:t>
            </w:r>
            <w:r>
              <w:rPr>
                <w:rFonts w:hint="eastAsia" w:hAnsi="宋体" w:cs="宋体"/>
                <w:color w:val="auto"/>
                <w:szCs w:val="21"/>
                <w:highlight w:val="none"/>
                <w:u w:val="single"/>
              </w:rPr>
              <w:t xml:space="preserve"> </w:t>
            </w:r>
            <w:r>
              <w:rPr>
                <w:rFonts w:hint="eastAsia" w:hAnsi="宋体" w:cs="宋体"/>
                <w:color w:val="auto"/>
                <w:szCs w:val="21"/>
                <w:highlight w:val="none"/>
              </w:rPr>
              <w:t>日历天（从投标截止之日算起）。在此期限内，凡符合本招标文件要求的投标文件均保持有效。</w:t>
            </w:r>
          </w:p>
        </w:tc>
      </w:tr>
      <w:tr w14:paraId="58D584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214A77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24</w:t>
            </w:r>
          </w:p>
        </w:tc>
        <w:tc>
          <w:tcPr>
            <w:tcW w:w="1905" w:type="dxa"/>
            <w:gridSpan w:val="2"/>
            <w:noWrap w:val="0"/>
            <w:vAlign w:val="center"/>
          </w:tcPr>
          <w:p w14:paraId="37026350">
            <w:pPr>
              <w:pStyle w:val="14"/>
              <w:keepNext w:val="0"/>
              <w:keepLines w:val="0"/>
              <w:pageBreakBefore w:val="0"/>
              <w:kinsoku/>
              <w:wordWrap/>
              <w:overflowPunct/>
              <w:topLinePunct w:val="0"/>
              <w:autoSpaceDE/>
              <w:autoSpaceDN/>
              <w:bidi w:val="0"/>
              <w:adjustRightInd/>
              <w:snapToGrid/>
              <w:spacing w:line="240" w:lineRule="auto"/>
              <w:textAlignment w:val="auto"/>
              <w:rPr>
                <w:rFonts w:hint="eastAsia" w:hAnsi="宋体" w:cs="宋体"/>
                <w:color w:val="auto"/>
                <w:szCs w:val="21"/>
                <w:highlight w:val="none"/>
              </w:rPr>
            </w:pPr>
            <w:r>
              <w:rPr>
                <w:rFonts w:hint="eastAsia" w:hAnsi="宋体" w:cs="宋体"/>
                <w:color w:val="auto"/>
                <w:szCs w:val="21"/>
                <w:highlight w:val="none"/>
              </w:rPr>
              <w:t>投标保证金</w:t>
            </w:r>
          </w:p>
        </w:tc>
        <w:tc>
          <w:tcPr>
            <w:tcW w:w="6700" w:type="dxa"/>
            <w:noWrap w:val="0"/>
            <w:vAlign w:val="center"/>
          </w:tcPr>
          <w:p w14:paraId="619F13BE">
            <w:pPr>
              <w:pStyle w:val="14"/>
              <w:keepNext w:val="0"/>
              <w:keepLines w:val="0"/>
              <w:pageBreakBefore w:val="0"/>
              <w:kinsoku/>
              <w:wordWrap/>
              <w:overflowPunct/>
              <w:topLinePunct w:val="0"/>
              <w:autoSpaceDE/>
              <w:autoSpaceDN/>
              <w:bidi w:val="0"/>
              <w:adjustRightInd/>
              <w:snapToGrid/>
              <w:spacing w:line="240" w:lineRule="auto"/>
              <w:jc w:val="both"/>
              <w:textAlignment w:val="auto"/>
              <w:rPr>
                <w:rFonts w:hint="eastAsia" w:hAnsi="宋体" w:cs="宋体"/>
                <w:color w:val="auto"/>
                <w:szCs w:val="21"/>
                <w:highlight w:val="none"/>
              </w:rPr>
            </w:pPr>
            <w:r>
              <w:rPr>
                <w:rFonts w:hint="eastAsia" w:hAnsi="宋体" w:cs="宋体"/>
                <w:color w:val="auto"/>
                <w:szCs w:val="21"/>
                <w:highlight w:val="none"/>
              </w:rPr>
              <w:t>详见第一章“招标公告”</w:t>
            </w:r>
          </w:p>
        </w:tc>
      </w:tr>
      <w:tr w14:paraId="7C0F17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418F30A9">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25.1</w:t>
            </w:r>
          </w:p>
        </w:tc>
        <w:tc>
          <w:tcPr>
            <w:tcW w:w="1905" w:type="dxa"/>
            <w:gridSpan w:val="2"/>
            <w:noWrap w:val="0"/>
            <w:vAlign w:val="center"/>
          </w:tcPr>
          <w:p w14:paraId="5A1E3C4A">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投标文件数量</w:t>
            </w:r>
          </w:p>
        </w:tc>
        <w:tc>
          <w:tcPr>
            <w:tcW w:w="6700" w:type="dxa"/>
            <w:noWrap w:val="0"/>
            <w:vAlign w:val="center"/>
          </w:tcPr>
          <w:p w14:paraId="23CFD959">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网上递交的电子投标文件：一份。以投标人在投标截止时间前网上递交的电子投标文件为准，逾期提交的，投标文件将被拒绝。</w:t>
            </w:r>
          </w:p>
          <w:p w14:paraId="3B30204D">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（投标单位中标后须递交与网上电子投标文件完全一致的纸质版投标文件，并按要求加盖公章；份数：3份；中标单位领取中标通知书时，一并递交给代理机构）</w:t>
            </w:r>
          </w:p>
        </w:tc>
      </w:tr>
      <w:tr w14:paraId="6B05F8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57998A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25.2</w:t>
            </w:r>
          </w:p>
        </w:tc>
        <w:tc>
          <w:tcPr>
            <w:tcW w:w="1905" w:type="dxa"/>
            <w:gridSpan w:val="2"/>
            <w:noWrap w:val="0"/>
            <w:vAlign w:val="center"/>
          </w:tcPr>
          <w:p w14:paraId="76B5C9D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签字或盖章要求</w:t>
            </w:r>
          </w:p>
        </w:tc>
        <w:tc>
          <w:tcPr>
            <w:tcW w:w="6700" w:type="dxa"/>
            <w:noWrap w:val="0"/>
            <w:vAlign w:val="center"/>
          </w:tcPr>
          <w:p w14:paraId="562675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电子投标文件须按格式文件要求签字或盖章（电子签章），招标文件格式中要求“签章”部位，指电子签章或盖章后扫描上传均可。</w:t>
            </w:r>
          </w:p>
          <w:p w14:paraId="6169A7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bCs/>
                <w:color w:val="auto"/>
                <w:kern w:val="0"/>
                <w:szCs w:val="21"/>
                <w:highlight w:val="none"/>
              </w:rPr>
              <w:t>否则经评委会一致认定，按照无效投标处理。</w:t>
            </w:r>
          </w:p>
        </w:tc>
      </w:tr>
      <w:tr w14:paraId="3DA3FE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58972F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26.1</w:t>
            </w:r>
          </w:p>
        </w:tc>
        <w:tc>
          <w:tcPr>
            <w:tcW w:w="1905" w:type="dxa"/>
            <w:gridSpan w:val="2"/>
            <w:noWrap w:val="0"/>
            <w:vAlign w:val="center"/>
          </w:tcPr>
          <w:p w14:paraId="34E60F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投标文件提交截止时间</w:t>
            </w:r>
          </w:p>
        </w:tc>
        <w:tc>
          <w:tcPr>
            <w:tcW w:w="6700" w:type="dxa"/>
            <w:noWrap w:val="0"/>
            <w:vAlign w:val="center"/>
          </w:tcPr>
          <w:p w14:paraId="017DC36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网上递交投标文件截止时间：</w:t>
            </w:r>
            <w:r>
              <w:rPr>
                <w:rFonts w:hint="eastAsia" w:ascii="宋体" w:hAnsi="宋体" w:cs="宋体"/>
                <w:bCs/>
                <w:color w:val="auto"/>
                <w:kern w:val="0"/>
                <w:szCs w:val="21"/>
                <w:highlight w:val="none"/>
                <w:lang w:val="en-US" w:eastAsia="zh-CN"/>
              </w:rPr>
              <w:t>2024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30</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0分（北京时间）</w:t>
            </w:r>
          </w:p>
          <w:p w14:paraId="512DE4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注：以投标人在投标截止时间前网上递交的电子投标文件为准，逾期提交的，投标文件将被拒绝。</w:t>
            </w:r>
          </w:p>
          <w:p w14:paraId="02A5321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1.解密程序开始后60分钟内（以本项目网上招投标系统解密倒计时为准）。</w:t>
            </w:r>
          </w:p>
          <w:p w14:paraId="653A66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bCs/>
                <w:color w:val="auto"/>
                <w:kern w:val="0"/>
                <w:szCs w:val="21"/>
                <w:highlight w:val="none"/>
              </w:rPr>
              <w:t>2.解密时间为</w:t>
            </w:r>
            <w:r>
              <w:rPr>
                <w:rFonts w:hint="eastAsia" w:ascii="宋体" w:hAnsi="宋体" w:cs="宋体"/>
                <w:bCs/>
                <w:color w:val="auto"/>
                <w:kern w:val="0"/>
                <w:szCs w:val="21"/>
                <w:highlight w:val="none"/>
                <w:lang w:val="en-US" w:eastAsia="zh-CN"/>
              </w:rPr>
              <w:t>2024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30</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0分至</w:t>
            </w:r>
            <w:r>
              <w:rPr>
                <w:rFonts w:hint="eastAsia" w:ascii="宋体" w:hAnsi="宋体" w:cs="宋体"/>
                <w:bCs/>
                <w:color w:val="auto"/>
                <w:kern w:val="0"/>
                <w:szCs w:val="21"/>
                <w:highlight w:val="none"/>
                <w:lang w:val="en-US" w:eastAsia="zh-CN"/>
              </w:rPr>
              <w:t>2024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30</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0分。</w:t>
            </w:r>
          </w:p>
        </w:tc>
      </w:tr>
      <w:tr w14:paraId="724752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507A4D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27.3</w:t>
            </w:r>
          </w:p>
        </w:tc>
        <w:tc>
          <w:tcPr>
            <w:tcW w:w="1905" w:type="dxa"/>
            <w:gridSpan w:val="2"/>
            <w:noWrap w:val="0"/>
            <w:vAlign w:val="center"/>
          </w:tcPr>
          <w:p w14:paraId="66A762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6700" w:type="dxa"/>
            <w:noWrap w:val="0"/>
            <w:vAlign w:val="center"/>
          </w:tcPr>
          <w:p w14:paraId="36B597E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否</w:t>
            </w:r>
          </w:p>
        </w:tc>
      </w:tr>
      <w:tr w14:paraId="7366AA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3C4416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28.1</w:t>
            </w:r>
          </w:p>
        </w:tc>
        <w:tc>
          <w:tcPr>
            <w:tcW w:w="1905" w:type="dxa"/>
            <w:gridSpan w:val="2"/>
            <w:noWrap w:val="0"/>
            <w:vAlign w:val="center"/>
          </w:tcPr>
          <w:p w14:paraId="4B08988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开标时间及地点</w:t>
            </w:r>
          </w:p>
        </w:tc>
        <w:tc>
          <w:tcPr>
            <w:tcW w:w="6700" w:type="dxa"/>
            <w:noWrap w:val="0"/>
            <w:vAlign w:val="center"/>
          </w:tcPr>
          <w:p w14:paraId="49D2C46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color w:val="auto"/>
                <w:szCs w:val="21"/>
                <w:highlight w:val="none"/>
              </w:rPr>
            </w:pPr>
            <w:r>
              <w:rPr>
                <w:rFonts w:hint="eastAsia" w:ascii="宋体" w:hAnsi="宋体" w:cs="宋体"/>
                <w:color w:val="auto"/>
                <w:szCs w:val="21"/>
                <w:highlight w:val="none"/>
              </w:rPr>
              <w:t>开标时间：</w:t>
            </w:r>
            <w:r>
              <w:rPr>
                <w:rFonts w:hint="eastAsia" w:ascii="宋体" w:hAnsi="宋体" w:cs="宋体"/>
                <w:b/>
                <w:bCs/>
                <w:color w:val="auto"/>
                <w:szCs w:val="21"/>
                <w:highlight w:val="non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0分（北京时间）</w:t>
            </w:r>
          </w:p>
          <w:p w14:paraId="6883BB59">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开标地点：网上开标，投标人登录滁州市不见面开标系统参与网上开标（网址：https://ggzy.chuzhou.gov.cn/BidOpening/bidopeninghallaction/hall/login）。操作手册见https://ggzy.chuzhou.gov.cn/fwzn/011006/20240510/f0637388-583d-4c69-8331-05b6adfcf24d.html。</w:t>
            </w:r>
          </w:p>
        </w:tc>
      </w:tr>
      <w:tr w14:paraId="4F7E43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413FB3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28.3</w:t>
            </w:r>
          </w:p>
        </w:tc>
        <w:tc>
          <w:tcPr>
            <w:tcW w:w="1905" w:type="dxa"/>
            <w:gridSpan w:val="2"/>
            <w:noWrap w:val="0"/>
            <w:vAlign w:val="center"/>
          </w:tcPr>
          <w:p w14:paraId="60FD736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700" w:type="dxa"/>
            <w:noWrap w:val="0"/>
            <w:vAlign w:val="center"/>
          </w:tcPr>
          <w:p w14:paraId="4097E9F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开标顺序：解密电子投标文件后，由评标委员会评审。</w:t>
            </w:r>
          </w:p>
        </w:tc>
      </w:tr>
      <w:tr w14:paraId="2CDD39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0CE640A8">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29.1</w:t>
            </w:r>
          </w:p>
        </w:tc>
        <w:tc>
          <w:tcPr>
            <w:tcW w:w="1905" w:type="dxa"/>
            <w:gridSpan w:val="2"/>
            <w:noWrap w:val="0"/>
            <w:vAlign w:val="center"/>
          </w:tcPr>
          <w:p w14:paraId="680919B2">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评标委员会的组建</w:t>
            </w:r>
          </w:p>
        </w:tc>
        <w:tc>
          <w:tcPr>
            <w:tcW w:w="6700" w:type="dxa"/>
            <w:noWrap w:val="0"/>
            <w:vAlign w:val="top"/>
          </w:tcPr>
          <w:p w14:paraId="6A704D6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评标委员会构成：</w:t>
            </w:r>
            <w:r>
              <w:rPr>
                <w:rFonts w:hint="eastAsia"/>
                <w:color w:val="auto"/>
                <w:szCs w:val="21"/>
                <w:highlight w:val="none"/>
                <w:lang w:val="en-US" w:eastAsia="zh-CN"/>
              </w:rPr>
              <w:t>5</w:t>
            </w:r>
            <w:r>
              <w:rPr>
                <w:rFonts w:hint="eastAsia"/>
                <w:color w:val="auto"/>
                <w:szCs w:val="21"/>
                <w:highlight w:val="none"/>
              </w:rPr>
              <w:t>人，其中招标人代表</w:t>
            </w:r>
            <w:r>
              <w:rPr>
                <w:rFonts w:hint="eastAsia"/>
                <w:color w:val="auto"/>
                <w:szCs w:val="21"/>
                <w:highlight w:val="none"/>
                <w:lang w:val="en-US" w:eastAsia="zh-CN"/>
              </w:rPr>
              <w:t>0</w:t>
            </w:r>
            <w:r>
              <w:rPr>
                <w:rFonts w:hint="eastAsia"/>
                <w:color w:val="auto"/>
                <w:szCs w:val="21"/>
                <w:highlight w:val="none"/>
              </w:rPr>
              <w:t>人，专家</w:t>
            </w:r>
            <w:r>
              <w:rPr>
                <w:rFonts w:hint="eastAsia"/>
                <w:color w:val="auto"/>
                <w:szCs w:val="21"/>
                <w:highlight w:val="none"/>
                <w:lang w:val="en-US" w:eastAsia="zh-CN"/>
              </w:rPr>
              <w:t>5</w:t>
            </w:r>
            <w:r>
              <w:rPr>
                <w:rFonts w:hint="eastAsia"/>
                <w:color w:val="auto"/>
                <w:szCs w:val="21"/>
                <w:highlight w:val="none"/>
              </w:rPr>
              <w:t>人。</w:t>
            </w:r>
          </w:p>
          <w:p w14:paraId="779AD60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评标专家确定方式：专家评委由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在开标前从专家库中随机抽取。</w:t>
            </w:r>
          </w:p>
        </w:tc>
      </w:tr>
      <w:tr w14:paraId="254DDF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26499B22">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32.1.1</w:t>
            </w:r>
          </w:p>
        </w:tc>
        <w:tc>
          <w:tcPr>
            <w:tcW w:w="1905" w:type="dxa"/>
            <w:gridSpan w:val="2"/>
            <w:noWrap w:val="0"/>
            <w:vAlign w:val="center"/>
          </w:tcPr>
          <w:p w14:paraId="1E278749">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是否授权评标委员会确定中标候选人</w:t>
            </w:r>
          </w:p>
        </w:tc>
        <w:tc>
          <w:tcPr>
            <w:tcW w:w="6700" w:type="dxa"/>
            <w:noWrap w:val="0"/>
            <w:vAlign w:val="center"/>
          </w:tcPr>
          <w:p w14:paraId="0471B838">
            <w:pPr>
              <w:pStyle w:val="14"/>
              <w:keepNext w:val="0"/>
              <w:keepLines w:val="0"/>
              <w:pageBreakBefore w:val="0"/>
              <w:kinsoku/>
              <w:wordWrap/>
              <w:overflowPunct/>
              <w:topLinePunct w:val="0"/>
              <w:autoSpaceDE/>
              <w:autoSpaceDN/>
              <w:bidi w:val="0"/>
              <w:adjustRightInd/>
              <w:snapToGrid/>
              <w:spacing w:line="240" w:lineRule="auto"/>
              <w:jc w:val="both"/>
              <w:textAlignment w:val="auto"/>
              <w:rPr>
                <w:rFonts w:hAnsi="宋体" w:cs="宋体"/>
                <w:color w:val="auto"/>
                <w:szCs w:val="21"/>
                <w:highlight w:val="none"/>
              </w:rPr>
            </w:pPr>
            <w:r>
              <w:rPr>
                <w:rFonts w:hint="eastAsia" w:hAnsi="宋体" w:cs="宋体"/>
                <w:color w:val="auto"/>
                <w:szCs w:val="21"/>
                <w:highlight w:val="none"/>
              </w:rPr>
              <w:t>是，评标委员会推荐</w:t>
            </w:r>
            <w:r>
              <w:rPr>
                <w:rFonts w:hint="eastAsia" w:hAnsi="宋体" w:cs="宋体"/>
                <w:color w:val="auto"/>
                <w:szCs w:val="21"/>
                <w:highlight w:val="none"/>
                <w:u w:val="none" w:color="auto"/>
              </w:rPr>
              <w:t>1</w:t>
            </w:r>
            <w:r>
              <w:rPr>
                <w:rFonts w:hint="eastAsia" w:hAnsi="宋体" w:cs="宋体"/>
                <w:color w:val="auto"/>
                <w:szCs w:val="21"/>
                <w:highlight w:val="none"/>
              </w:rPr>
              <w:t>名中标候选人。</w:t>
            </w:r>
          </w:p>
        </w:tc>
      </w:tr>
      <w:tr w14:paraId="6692E1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622AE901">
            <w:pPr>
              <w:pStyle w:val="14"/>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cs="宋体"/>
                <w:color w:val="auto"/>
                <w:szCs w:val="21"/>
                <w:highlight w:val="none"/>
              </w:rPr>
            </w:pPr>
            <w:r>
              <w:rPr>
                <w:rFonts w:hint="eastAsia" w:hAnsi="宋体" w:cs="宋体"/>
                <w:color w:val="auto"/>
                <w:szCs w:val="21"/>
                <w:highlight w:val="none"/>
              </w:rPr>
              <w:t>32.1.2</w:t>
            </w:r>
          </w:p>
        </w:tc>
        <w:tc>
          <w:tcPr>
            <w:tcW w:w="1905" w:type="dxa"/>
            <w:gridSpan w:val="2"/>
            <w:noWrap w:val="0"/>
            <w:vAlign w:val="center"/>
          </w:tcPr>
          <w:p w14:paraId="2B020E0C">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eastAsia" w:hAnsi="宋体" w:cs="宋体"/>
                <w:color w:val="auto"/>
                <w:szCs w:val="21"/>
                <w:highlight w:val="none"/>
              </w:rPr>
            </w:pPr>
            <w:r>
              <w:rPr>
                <w:rFonts w:hint="eastAsia" w:hAnsi="宋体" w:cs="宋体"/>
                <w:color w:val="auto"/>
                <w:szCs w:val="21"/>
                <w:highlight w:val="none"/>
              </w:rPr>
              <w:t>中标结果公告媒介</w:t>
            </w:r>
          </w:p>
        </w:tc>
        <w:tc>
          <w:tcPr>
            <w:tcW w:w="6700" w:type="dxa"/>
            <w:noWrap w:val="0"/>
            <w:vAlign w:val="center"/>
          </w:tcPr>
          <w:p w14:paraId="70BB46DF">
            <w:pPr>
              <w:pStyle w:val="14"/>
              <w:keepNext w:val="0"/>
              <w:keepLines w:val="0"/>
              <w:pageBreakBefore w:val="0"/>
              <w:kinsoku/>
              <w:wordWrap/>
              <w:overflowPunct/>
              <w:topLinePunct w:val="0"/>
              <w:autoSpaceDE/>
              <w:autoSpaceDN/>
              <w:bidi w:val="0"/>
              <w:adjustRightInd/>
              <w:snapToGrid/>
              <w:spacing w:line="240" w:lineRule="auto"/>
              <w:jc w:val="both"/>
              <w:textAlignment w:val="auto"/>
              <w:rPr>
                <w:rFonts w:hint="eastAsia" w:hAnsi="宋体" w:cs="宋体"/>
                <w:color w:val="auto"/>
                <w:spacing w:val="-4"/>
                <w:szCs w:val="21"/>
                <w:highlight w:val="none"/>
              </w:rPr>
            </w:pPr>
            <w:r>
              <w:rPr>
                <w:rFonts w:hint="eastAsia" w:hAnsi="宋体" w:cs="宋体"/>
                <w:color w:val="auto"/>
                <w:spacing w:val="-4"/>
                <w:szCs w:val="21"/>
                <w:highlight w:val="none"/>
              </w:rPr>
              <w:t>滁州市公共资源交易中心（</w:t>
            </w:r>
            <w:r>
              <w:rPr>
                <w:rFonts w:hint="eastAsia" w:hAnsi="宋体" w:cs="宋体"/>
                <w:color w:val="auto"/>
                <w:szCs w:val="21"/>
                <w:highlight w:val="none"/>
                <w:u w:val="single"/>
              </w:rPr>
              <w:t>http://ggzy.chuzhou.gov.cn/</w:t>
            </w:r>
            <w:r>
              <w:rPr>
                <w:rFonts w:hint="eastAsia" w:hAnsi="宋体" w:cs="宋体"/>
                <w:color w:val="auto"/>
                <w:spacing w:val="-4"/>
                <w:szCs w:val="21"/>
                <w:highlight w:val="none"/>
              </w:rPr>
              <w:t>）等网站</w:t>
            </w:r>
          </w:p>
        </w:tc>
      </w:tr>
      <w:tr w14:paraId="1A37BA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2656A9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32.2</w:t>
            </w:r>
          </w:p>
        </w:tc>
        <w:tc>
          <w:tcPr>
            <w:tcW w:w="1905" w:type="dxa"/>
            <w:gridSpan w:val="2"/>
            <w:noWrap w:val="0"/>
            <w:vAlign w:val="center"/>
          </w:tcPr>
          <w:p w14:paraId="73E5956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中标通知书</w:t>
            </w:r>
          </w:p>
        </w:tc>
        <w:tc>
          <w:tcPr>
            <w:tcW w:w="6700" w:type="dxa"/>
            <w:noWrap w:val="0"/>
            <w:vAlign w:val="center"/>
          </w:tcPr>
          <w:p w14:paraId="708E3C4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中标通知书发放形式：数据电文</w:t>
            </w:r>
            <w:r>
              <w:rPr>
                <w:rFonts w:hint="eastAsia" w:ascii="宋体" w:hAnsi="宋体" w:cs="宋体"/>
                <w:color w:val="auto"/>
                <w:szCs w:val="21"/>
                <w:highlight w:val="none"/>
                <w:lang w:eastAsia="zh-CN"/>
              </w:rPr>
              <w:t>。</w:t>
            </w:r>
          </w:p>
          <w:p w14:paraId="79AEF05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中标通知书须加盖公共资源交易中心见证章后方可发出。</w:t>
            </w:r>
          </w:p>
        </w:tc>
      </w:tr>
      <w:tr w14:paraId="1A2BB7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036" w:type="dxa"/>
            <w:noWrap w:val="0"/>
            <w:vAlign w:val="center"/>
          </w:tcPr>
          <w:p w14:paraId="3C3B4A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36.1</w:t>
            </w:r>
          </w:p>
        </w:tc>
        <w:tc>
          <w:tcPr>
            <w:tcW w:w="1905" w:type="dxa"/>
            <w:gridSpan w:val="2"/>
            <w:noWrap w:val="0"/>
            <w:vAlign w:val="center"/>
          </w:tcPr>
          <w:p w14:paraId="4FF18DC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6700" w:type="dxa"/>
            <w:noWrap w:val="0"/>
            <w:vAlign w:val="center"/>
          </w:tcPr>
          <w:p w14:paraId="6ED8E2B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r>
              <w:rPr>
                <w:rFonts w:hint="eastAsia"/>
                <w:color w:val="auto"/>
                <w:highlight w:val="none"/>
              </w:rPr>
              <w:t>履约担保的形式：支持银行转账、银行保函（见索即付无条件保函）、担保保函、商业保险、第三方担保（无条件担保）使用</w:t>
            </w:r>
          </w:p>
          <w:p w14:paraId="02D01DD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r>
              <w:rPr>
                <w:rFonts w:hint="eastAsia"/>
                <w:color w:val="auto"/>
                <w:highlight w:val="none"/>
              </w:rPr>
              <w:t>履约担保的金额：中标价（扣除暂估价及暂列金额）×</w:t>
            </w:r>
            <w:r>
              <w:rPr>
                <w:rFonts w:hint="eastAsia"/>
                <w:color w:val="auto"/>
                <w:highlight w:val="none"/>
                <w:lang w:val="en-US" w:eastAsia="zh-CN"/>
              </w:rPr>
              <w:t>2.0</w:t>
            </w:r>
            <w:r>
              <w:rPr>
                <w:rFonts w:hint="eastAsia"/>
                <w:color w:val="auto"/>
                <w:highlight w:val="none"/>
              </w:rPr>
              <w:t xml:space="preserve">%（四舍五入取至千元的整数倍） </w:t>
            </w:r>
          </w:p>
          <w:p w14:paraId="61776911">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r>
              <w:rPr>
                <w:rFonts w:hint="eastAsia"/>
                <w:color w:val="auto"/>
                <w:highlight w:val="none"/>
              </w:rPr>
              <w:t xml:space="preserve">银行转账要求： </w:t>
            </w:r>
          </w:p>
          <w:p w14:paraId="2A646D45">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r>
              <w:rPr>
                <w:rFonts w:hint="eastAsia"/>
                <w:color w:val="auto"/>
                <w:highlight w:val="none"/>
              </w:rPr>
              <w:t>户名：由</w:t>
            </w:r>
            <w:r>
              <w:rPr>
                <w:rFonts w:hint="eastAsia" w:ascii="宋体" w:hAnsi="宋体" w:eastAsia="宋体" w:cs="宋体"/>
                <w:color w:val="auto"/>
                <w:highlight w:val="none"/>
                <w:lang w:val="en-US" w:eastAsia="zh-CN"/>
              </w:rPr>
              <w:t>招标人</w:t>
            </w:r>
            <w:r>
              <w:rPr>
                <w:rFonts w:hint="eastAsia"/>
                <w:color w:val="auto"/>
                <w:highlight w:val="none"/>
              </w:rPr>
              <w:t xml:space="preserve">另行通知 </w:t>
            </w:r>
          </w:p>
          <w:p w14:paraId="1868EF10">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r>
              <w:rPr>
                <w:rFonts w:hint="eastAsia"/>
                <w:color w:val="auto"/>
                <w:highlight w:val="none"/>
              </w:rPr>
              <w:t>开户行：由</w:t>
            </w:r>
            <w:r>
              <w:rPr>
                <w:rFonts w:hint="eastAsia" w:ascii="宋体" w:hAnsi="宋体" w:eastAsia="宋体" w:cs="宋体"/>
                <w:color w:val="auto"/>
                <w:highlight w:val="none"/>
                <w:lang w:val="en-US" w:eastAsia="zh-CN"/>
              </w:rPr>
              <w:t>招标人</w:t>
            </w:r>
            <w:r>
              <w:rPr>
                <w:rFonts w:hint="eastAsia"/>
                <w:color w:val="auto"/>
                <w:highlight w:val="none"/>
              </w:rPr>
              <w:t xml:space="preserve">另行通知 </w:t>
            </w:r>
          </w:p>
          <w:p w14:paraId="7E59C6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帐 号：由</w:t>
            </w:r>
            <w:r>
              <w:rPr>
                <w:rFonts w:hint="eastAsia" w:ascii="宋体" w:hAnsi="宋体" w:eastAsia="宋体" w:cs="宋体"/>
                <w:color w:val="auto"/>
                <w:highlight w:val="none"/>
                <w:lang w:val="en-US" w:eastAsia="zh-CN"/>
              </w:rPr>
              <w:t>招标人</w:t>
            </w:r>
            <w:r>
              <w:rPr>
                <w:rFonts w:hint="eastAsia"/>
                <w:color w:val="auto"/>
                <w:highlight w:val="none"/>
              </w:rPr>
              <w:t>另行通知</w:t>
            </w:r>
          </w:p>
          <w:p w14:paraId="1EBB5C7C">
            <w:pPr>
              <w:pStyle w:val="12"/>
              <w:keepNext w:val="0"/>
              <w:keepLines w:val="0"/>
              <w:pageBreakBefore w:val="0"/>
              <w:kinsoku/>
              <w:wordWrap/>
              <w:overflowPunct/>
              <w:topLinePunct w:val="0"/>
              <w:autoSpaceDE/>
              <w:autoSpaceDN/>
              <w:bidi w:val="0"/>
              <w:adjustRightInd/>
              <w:snapToGrid/>
              <w:spacing w:after="0" w:line="240" w:lineRule="auto"/>
              <w:textAlignment w:val="auto"/>
              <w:rPr>
                <w:color w:val="auto"/>
                <w:highlight w:val="none"/>
              </w:rPr>
            </w:pPr>
            <w:r>
              <w:rPr>
                <w:rFonts w:hint="eastAsia"/>
                <w:color w:val="auto"/>
                <w:highlight w:val="none"/>
              </w:rPr>
              <w:t xml:space="preserve">交纳时间：领取中标通知书后，签订合同前。（注：未按规定时间金额交纳的投标人，将记入不良行为记录，并网上公告） </w:t>
            </w:r>
          </w:p>
          <w:p w14:paraId="6DBB2123">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交纳时须在交易附言中注明：“</w:t>
            </w:r>
            <w:r>
              <w:rPr>
                <w:rFonts w:hint="eastAsia"/>
                <w:color w:val="auto"/>
                <w:highlight w:val="none"/>
                <w:lang w:eastAsia="zh-CN"/>
              </w:rPr>
              <w:t>定远县城乡水务投资建设有限公司2024年哈夫节采购项目</w:t>
            </w:r>
            <w:r>
              <w:rPr>
                <w:rFonts w:hint="eastAsia"/>
                <w:color w:val="auto"/>
                <w:highlight w:val="none"/>
              </w:rPr>
              <w:t>”履约保证金（附言中注明的名称可以简写）。</w:t>
            </w:r>
          </w:p>
          <w:p w14:paraId="3C53ED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履约保证金退还方式：①采用银行转账方式：</w:t>
            </w:r>
            <w:r>
              <w:rPr>
                <w:rFonts w:hint="eastAsia"/>
                <w:color w:val="auto"/>
                <w:highlight w:val="none"/>
                <w:lang w:val="en-US" w:eastAsia="zh-CN"/>
              </w:rPr>
              <w:t>项目</w:t>
            </w:r>
            <w:r>
              <w:rPr>
                <w:rFonts w:hint="eastAsia"/>
                <w:color w:val="auto"/>
                <w:highlight w:val="none"/>
              </w:rPr>
              <w:t>验收合格后，一次性无息退还；②采用支票、汇票、本票、保函等方式：有效期为自合同签订之日起至供货期满后止。</w:t>
            </w:r>
          </w:p>
          <w:p w14:paraId="56F5804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具体要求：另行通知</w:t>
            </w:r>
          </w:p>
          <w:p w14:paraId="5199B8B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kern w:val="0"/>
                <w:sz w:val="24"/>
                <w:szCs w:val="24"/>
                <w:highlight w:val="none"/>
                <w:lang w:val="en-US" w:eastAsia="zh-CN" w:bidi="ar"/>
              </w:rPr>
              <w:t>其</w:t>
            </w:r>
            <w:r>
              <w:rPr>
                <w:rFonts w:hint="eastAsia" w:ascii="Times New Roman" w:hAnsi="Times New Roman" w:eastAsia="宋体" w:cs="Times New Roman"/>
                <w:color w:val="auto"/>
                <w:highlight w:val="none"/>
                <w:lang w:val="en-US" w:eastAsia="zh-CN"/>
              </w:rPr>
              <w:t>他相关要求：</w:t>
            </w:r>
          </w:p>
          <w:p w14:paraId="725DE87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1.采用银行保函的具体要求：须符合招标人相关要求。 </w:t>
            </w:r>
          </w:p>
          <w:p w14:paraId="627E9A5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2.采用担保保函的具体要求：须符合招标人相关要求。 </w:t>
            </w:r>
          </w:p>
          <w:p w14:paraId="6A2680D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3.采用商业保险的具体要求：须符合招标人相关要求。 </w:t>
            </w:r>
          </w:p>
          <w:p w14:paraId="3376300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4.采用第三方担保的具体要求：须符合招标人相关要求。 </w:t>
            </w:r>
          </w:p>
          <w:p w14:paraId="69707C9F">
            <w:pPr>
              <w:keepNext w:val="0"/>
              <w:keepLines w:val="0"/>
              <w:pageBreakBefore w:val="0"/>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highlight w:val="none"/>
                <w:lang w:val="en-US" w:eastAsia="zh-CN"/>
              </w:rPr>
              <w:t>5.联合体参加投标且中标的，以联合体牵头人的名义按上述要求缴纳履约担保。</w:t>
            </w:r>
          </w:p>
        </w:tc>
      </w:tr>
      <w:tr w14:paraId="661377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3" w:type="dxa"/>
            <w:gridSpan w:val="2"/>
            <w:noWrap w:val="0"/>
            <w:vAlign w:val="center"/>
          </w:tcPr>
          <w:p w14:paraId="2535DC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付款方式、时间、条件</w:t>
            </w:r>
          </w:p>
        </w:tc>
        <w:tc>
          <w:tcPr>
            <w:tcW w:w="7738" w:type="dxa"/>
            <w:gridSpan w:val="2"/>
            <w:noWrap w:val="0"/>
            <w:vAlign w:val="center"/>
          </w:tcPr>
          <w:p w14:paraId="0DD6C4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color w:val="auto"/>
                <w:highlight w:val="none"/>
                <w:lang w:val="en-US" w:eastAsia="zh-CN"/>
              </w:rPr>
            </w:pPr>
            <w:r>
              <w:rPr>
                <w:rFonts w:hint="eastAsia"/>
                <w:color w:val="auto"/>
                <w:highlight w:val="none"/>
                <w:lang w:val="en-US" w:eastAsia="zh-CN"/>
              </w:rPr>
              <w:t>每批次货物</w:t>
            </w:r>
            <w:r>
              <w:rPr>
                <w:rFonts w:hint="default" w:eastAsia="宋体"/>
                <w:color w:val="auto"/>
                <w:highlight w:val="none"/>
                <w:lang w:val="en-US" w:eastAsia="zh-CN"/>
              </w:rPr>
              <w:t>进场经验收并抽检送检合格后支付至</w:t>
            </w:r>
            <w:r>
              <w:rPr>
                <w:rFonts w:hint="eastAsia"/>
                <w:color w:val="auto"/>
                <w:highlight w:val="none"/>
                <w:lang w:val="en-US" w:eastAsia="zh-CN"/>
              </w:rPr>
              <w:t>本批次</w:t>
            </w:r>
            <w:r>
              <w:rPr>
                <w:rFonts w:hint="default" w:eastAsia="宋体"/>
                <w:color w:val="auto"/>
                <w:highlight w:val="none"/>
                <w:lang w:val="en-US" w:eastAsia="zh-CN"/>
              </w:rPr>
              <w:t>货款的</w:t>
            </w:r>
            <w:r>
              <w:rPr>
                <w:rFonts w:hint="eastAsia"/>
                <w:color w:val="auto"/>
                <w:highlight w:val="none"/>
                <w:lang w:val="en-US" w:eastAsia="zh-CN"/>
              </w:rPr>
              <w:t>98</w:t>
            </w:r>
            <w:r>
              <w:rPr>
                <w:rFonts w:hint="default" w:eastAsia="宋体"/>
                <w:color w:val="auto"/>
                <w:highlight w:val="none"/>
                <w:lang w:val="en-US" w:eastAsia="zh-CN"/>
              </w:rPr>
              <w:t>%，剩余</w:t>
            </w:r>
            <w:r>
              <w:rPr>
                <w:rFonts w:hint="eastAsia"/>
                <w:color w:val="auto"/>
                <w:highlight w:val="none"/>
                <w:lang w:val="en-US" w:eastAsia="zh-CN"/>
              </w:rPr>
              <w:t>2</w:t>
            </w:r>
            <w:r>
              <w:rPr>
                <w:rFonts w:hint="default" w:eastAsia="宋体"/>
                <w:color w:val="auto"/>
                <w:highlight w:val="none"/>
                <w:lang w:val="en-US" w:eastAsia="zh-CN"/>
              </w:rPr>
              <w:t>%作为质保金，待质保期满后一次性无息付清。质保金支持保函（银行保函、担保机构担保、保证保险）使用。质保金采用保函的不再从货款中扣留质保金，保函有效期须与质保期截止时间保持一致。</w:t>
            </w:r>
          </w:p>
        </w:tc>
      </w:tr>
      <w:tr w14:paraId="16DDC0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3" w:type="dxa"/>
            <w:gridSpan w:val="2"/>
            <w:noWrap w:val="0"/>
            <w:vAlign w:val="center"/>
          </w:tcPr>
          <w:p w14:paraId="0985840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招标文件获取方式和时间</w:t>
            </w:r>
          </w:p>
        </w:tc>
        <w:tc>
          <w:tcPr>
            <w:tcW w:w="7738" w:type="dxa"/>
            <w:gridSpan w:val="2"/>
            <w:noWrap w:val="0"/>
            <w:vAlign w:val="top"/>
          </w:tcPr>
          <w:p w14:paraId="6DC0B72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highlight w:val="none"/>
                <w:lang w:val="en-US" w:eastAsia="zh-CN"/>
              </w:rPr>
            </w:pPr>
            <w:r>
              <w:rPr>
                <w:rFonts w:hint="eastAsia" w:eastAsia="宋体"/>
                <w:color w:val="auto"/>
                <w:highlight w:val="none"/>
                <w:lang w:val="en-US" w:eastAsia="zh-CN"/>
              </w:rPr>
              <w:t>招标文件获取方式：网上下载；</w:t>
            </w:r>
          </w:p>
          <w:p w14:paraId="30D7B0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highlight w:val="none"/>
                <w:lang w:val="en-US" w:eastAsia="zh-CN"/>
              </w:rPr>
            </w:pPr>
            <w:r>
              <w:rPr>
                <w:rFonts w:hint="eastAsia" w:eastAsia="宋体"/>
                <w:color w:val="auto"/>
                <w:highlight w:val="none"/>
                <w:lang w:val="en-US" w:eastAsia="zh-CN"/>
              </w:rPr>
              <w:t>获取时间：招标文件发布至投标截止时间。</w:t>
            </w:r>
          </w:p>
        </w:tc>
      </w:tr>
      <w:tr w14:paraId="4614BB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3" w:type="dxa"/>
            <w:gridSpan w:val="2"/>
            <w:noWrap w:val="0"/>
            <w:vAlign w:val="center"/>
          </w:tcPr>
          <w:p w14:paraId="321D66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特别提示</w:t>
            </w:r>
          </w:p>
        </w:tc>
        <w:tc>
          <w:tcPr>
            <w:tcW w:w="7738" w:type="dxa"/>
            <w:gridSpan w:val="2"/>
            <w:noWrap w:val="0"/>
            <w:vAlign w:val="top"/>
          </w:tcPr>
          <w:p w14:paraId="4144908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1.投标人应填写投标信息并下载招标文件，否则无法上传投标文件。</w:t>
            </w:r>
          </w:p>
          <w:p w14:paraId="77B5659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4956394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3.如果过程中出现招标文件更改，应以最后发布的招标答疑澄清文件中的模板制作本项目最新投标文件。</w:t>
            </w:r>
          </w:p>
          <w:p w14:paraId="1B992AF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 xml:space="preserve">4.投标人应当用本单位CA数字证书制作投标文件，制作成功后进行投标文件上传。 </w:t>
            </w:r>
          </w:p>
          <w:p w14:paraId="5EFC6F3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5.投标人须用CA数字证书盖章和加密投标文件，建议使用主锁。（如未办理CA数字证书请及时办理，网上办理和窗口办理均可。查看办理所需资料请登陆滁州市公共资源交易中心网&gt;服务指南&gt;办事指南&gt;CA数字证书和电子签章。因未及时办理CA数字证书手续导致无法投标的，责任自负。</w:t>
            </w:r>
          </w:p>
          <w:p w14:paraId="383076A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6.请投标人注意加密投标文件CA数字证书的有效期，不在有效期的CA数字证书无法解密投标文件。</w:t>
            </w:r>
          </w:p>
          <w:p w14:paraId="45765A0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7.投标人联系人或联系电话相同的，由评标委员会否决其投标，并报告监管部门作不良行为处理和进一步调查。</w:t>
            </w:r>
          </w:p>
          <w:p w14:paraId="73B68DF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8.投标人单方面出现其他投标人材料的，由评标委员会</w:t>
            </w:r>
            <w:r>
              <w:rPr>
                <w:rFonts w:hint="eastAsia" w:ascii="宋体" w:hAnsi="宋体" w:cs="宋体"/>
                <w:color w:val="auto"/>
                <w:szCs w:val="21"/>
                <w:highlight w:val="none"/>
                <w:lang w:val="en-US" w:eastAsia="zh-CN" w:bidi="ar"/>
              </w:rPr>
              <w:t>否决</w:t>
            </w:r>
            <w:r>
              <w:rPr>
                <w:rFonts w:hint="eastAsia" w:ascii="宋体" w:hAnsi="宋体" w:cs="宋体"/>
                <w:color w:val="auto"/>
                <w:szCs w:val="21"/>
                <w:highlight w:val="none"/>
                <w:lang w:bidi="ar"/>
              </w:rPr>
              <w:t>其投标。</w:t>
            </w:r>
          </w:p>
          <w:p w14:paraId="071D50C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11C407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szCs w:val="21"/>
                <w:highlight w:val="none"/>
                <w:lang w:bidi="ar"/>
              </w:rPr>
            </w:pPr>
            <w:r>
              <w:rPr>
                <w:rFonts w:hint="eastAsia" w:ascii="宋体" w:hAnsi="宋体" w:cs="宋体"/>
                <w:bCs/>
                <w:color w:val="auto"/>
                <w:szCs w:val="21"/>
                <w:highlight w:val="none"/>
                <w:lang w:bidi="ar"/>
              </w:rPr>
              <w:t>10.</w:t>
            </w:r>
            <w:r>
              <w:rPr>
                <w:rFonts w:hint="eastAsia" w:ascii="宋体" w:hAnsi="宋体" w:cs="宋体"/>
                <w:b/>
                <w:bCs/>
                <w:color w:val="auto"/>
                <w:szCs w:val="21"/>
                <w:highlight w:val="none"/>
              </w:rPr>
              <w:t>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tc>
      </w:tr>
      <w:tr w14:paraId="2B465D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3" w:type="dxa"/>
            <w:gridSpan w:val="2"/>
            <w:noWrap w:val="0"/>
            <w:vAlign w:val="center"/>
          </w:tcPr>
          <w:p w14:paraId="27C257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lang w:val="en-US" w:eastAsia="zh-CN"/>
              </w:rPr>
            </w:pPr>
            <w:bookmarkStart w:id="21" w:name="_Toc449028866"/>
            <w:bookmarkStart w:id="22" w:name="_Toc58430315"/>
            <w:bookmarkStart w:id="23" w:name="_Toc32463"/>
            <w:bookmarkStart w:id="24" w:name="_Toc19520"/>
            <w:r>
              <w:rPr>
                <w:rFonts w:hint="eastAsia" w:ascii="宋体" w:hAnsi="宋体" w:cs="宋体"/>
                <w:b/>
                <w:bCs/>
                <w:color w:val="auto"/>
                <w:kern w:val="0"/>
                <w:szCs w:val="21"/>
                <w:highlight w:val="none"/>
              </w:rPr>
              <w:t>评标过程中的澄清、说明或补正</w:t>
            </w:r>
          </w:p>
        </w:tc>
        <w:tc>
          <w:tcPr>
            <w:tcW w:w="7738" w:type="dxa"/>
            <w:gridSpan w:val="2"/>
            <w:noWrap w:val="0"/>
            <w:vAlign w:val="center"/>
          </w:tcPr>
          <w:p w14:paraId="71583B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评标委员会通过网上招投标系统将需要澄清、说明或补正的内容以询标函的形式发送给投标人，投标人应安排专人登录网上招投标系统并保持在线状态，并确保联系方式有效，以便及时接收评标委员会可能发出的询标函。</w:t>
            </w:r>
          </w:p>
          <w:p w14:paraId="4A53CD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lang w:val="zh-CN" w:eastAsia="zh-CN"/>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3DA6C6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3" w:type="dxa"/>
            <w:gridSpan w:val="2"/>
            <w:noWrap w:val="0"/>
            <w:vAlign w:val="center"/>
          </w:tcPr>
          <w:p w14:paraId="35DC273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其他要求</w:t>
            </w:r>
          </w:p>
        </w:tc>
        <w:tc>
          <w:tcPr>
            <w:tcW w:w="7738" w:type="dxa"/>
            <w:gridSpan w:val="2"/>
            <w:noWrap w:val="0"/>
            <w:vAlign w:val="top"/>
          </w:tcPr>
          <w:p w14:paraId="7BE19A3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1、系统中提供的投标文件格式与招标文件中不一致时，以招标文件中提供的格式为准。</w:t>
            </w:r>
          </w:p>
          <w:p w14:paraId="35F5398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2、本招标文件前后条款若有不一致之处，在澄清答疑时又未作出明确时，各投标人的投标文件只要满足其中任一条款均视为对</w:t>
            </w:r>
            <w:r>
              <w:rPr>
                <w:rFonts w:hint="eastAsia"/>
                <w:color w:val="auto"/>
                <w:highlight w:val="none"/>
                <w:lang w:eastAsia="zh-CN"/>
              </w:rPr>
              <w:t>招标文件</w:t>
            </w:r>
            <w:r>
              <w:rPr>
                <w:rFonts w:hint="eastAsia"/>
                <w:color w:val="auto"/>
                <w:highlight w:val="none"/>
              </w:rPr>
              <w:t>的响应。</w:t>
            </w:r>
          </w:p>
          <w:p w14:paraId="582260F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3、本项目招标公告与本招标文件不一致之处，以本招标文件为准；如投标须知前附表的规定与投标须知的规定不一致，以投标须知前附表为准。</w:t>
            </w:r>
          </w:p>
          <w:p w14:paraId="5852F0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olor w:val="auto"/>
                <w:highlight w:val="none"/>
              </w:rPr>
            </w:pPr>
            <w:r>
              <w:rPr>
                <w:rFonts w:hint="eastAsia"/>
                <w:color w:val="auto"/>
                <w:highlight w:val="none"/>
              </w:rPr>
              <w:t>4、根据滁州市公管局《滁州市公共资源</w:t>
            </w:r>
            <w:r>
              <w:rPr>
                <w:rFonts w:hint="eastAsia"/>
                <w:color w:val="auto"/>
                <w:highlight w:val="none"/>
                <w:lang w:eastAsia="zh-CN"/>
              </w:rPr>
              <w:t>招标文件</w:t>
            </w:r>
            <w:r>
              <w:rPr>
                <w:rFonts w:hint="eastAsia"/>
                <w:color w:val="auto"/>
                <w:highlight w:val="none"/>
              </w:rPr>
              <w:t>备案管理办法》、滁办发（2018）9号文件及滁州市公管局扫黑除恶专项斗争工作等文件精神，</w:t>
            </w:r>
            <w:r>
              <w:rPr>
                <w:rFonts w:hint="eastAsia"/>
                <w:color w:val="auto"/>
                <w:highlight w:val="none"/>
                <w:lang w:eastAsia="zh-CN"/>
              </w:rPr>
              <w:t>招标人</w:t>
            </w:r>
            <w:r>
              <w:rPr>
                <w:rFonts w:hint="eastAsia"/>
                <w:color w:val="auto"/>
                <w:highlight w:val="none"/>
              </w:rPr>
              <w:t>（及其委托人招标代理机构）已经严格按照上述文件精神要求，进行编制</w:t>
            </w:r>
            <w:r>
              <w:rPr>
                <w:rFonts w:hint="eastAsia"/>
                <w:color w:val="auto"/>
                <w:highlight w:val="none"/>
                <w:lang w:eastAsia="zh-CN"/>
              </w:rPr>
              <w:t>招标文件</w:t>
            </w:r>
            <w:r>
              <w:rPr>
                <w:rFonts w:hint="eastAsia"/>
                <w:color w:val="auto"/>
                <w:highlight w:val="none"/>
              </w:rPr>
              <w:t>。</w:t>
            </w:r>
          </w:p>
        </w:tc>
      </w:tr>
    </w:tbl>
    <w:p w14:paraId="61A1B2B3">
      <w:pPr>
        <w:keepNext w:val="0"/>
        <w:keepLines w:val="0"/>
        <w:pageBreakBefore/>
        <w:widowControl w:val="0"/>
        <w:kinsoku/>
        <w:wordWrap/>
        <w:overflowPunct/>
        <w:topLinePunct w:val="0"/>
        <w:autoSpaceDE/>
        <w:autoSpaceDN/>
        <w:bidi w:val="0"/>
        <w:adjustRightInd/>
        <w:snapToGrid/>
        <w:spacing w:line="240" w:lineRule="auto"/>
        <w:jc w:val="center"/>
        <w:textAlignment w:val="auto"/>
        <w:outlineLvl w:val="1"/>
        <w:rPr>
          <w:rFonts w:hint="eastAsia" w:ascii="宋体"/>
          <w:b/>
          <w:color w:val="auto"/>
          <w:sz w:val="24"/>
          <w:highlight w:val="none"/>
        </w:rPr>
      </w:pPr>
      <w:bookmarkStart w:id="25" w:name="_Toc12784"/>
      <w:bookmarkStart w:id="26" w:name="_Toc18364"/>
      <w:bookmarkStart w:id="27" w:name="_Toc26165"/>
      <w:bookmarkStart w:id="28" w:name="_Toc28455"/>
      <w:bookmarkStart w:id="29" w:name="_Toc16138"/>
      <w:r>
        <w:rPr>
          <w:rFonts w:hint="eastAsia" w:ascii="宋体"/>
          <w:b/>
          <w:color w:val="auto"/>
          <w:sz w:val="24"/>
          <w:highlight w:val="none"/>
        </w:rPr>
        <w:t>二、投标人须知</w:t>
      </w:r>
      <w:bookmarkEnd w:id="21"/>
      <w:bookmarkEnd w:id="22"/>
      <w:bookmarkEnd w:id="23"/>
      <w:bookmarkEnd w:id="24"/>
      <w:bookmarkEnd w:id="25"/>
      <w:bookmarkEnd w:id="26"/>
      <w:bookmarkEnd w:id="27"/>
      <w:bookmarkEnd w:id="28"/>
      <w:bookmarkEnd w:id="29"/>
    </w:p>
    <w:p w14:paraId="025FF885">
      <w:pPr>
        <w:keepNext w:val="0"/>
        <w:keepLines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rPr>
      </w:pPr>
      <w:bookmarkStart w:id="30" w:name="_Toc449028867"/>
      <w:r>
        <w:rPr>
          <w:rFonts w:hint="eastAsia" w:ascii="宋体" w:hAnsi="宋体" w:cs="宋体"/>
          <w:b/>
          <w:color w:val="auto"/>
          <w:sz w:val="24"/>
          <w:highlight w:val="none"/>
        </w:rPr>
        <w:t>（一）总  则</w:t>
      </w:r>
      <w:bookmarkEnd w:id="30"/>
    </w:p>
    <w:p w14:paraId="2672FA26">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 项目概况</w:t>
      </w:r>
    </w:p>
    <w:p w14:paraId="5F4604CA">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1.1 本次招标采购项目名称：见投标人须知前附表。</w:t>
      </w:r>
    </w:p>
    <w:p w14:paraId="30760849">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项目编号：见投标人须知前附表。</w:t>
      </w:r>
    </w:p>
    <w:p w14:paraId="62D005D8">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：见投标人须知前附表。</w:t>
      </w:r>
    </w:p>
    <w:p w14:paraId="34F73A1F">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供货期（服务周期）：见投标人须知前附表。</w:t>
      </w:r>
    </w:p>
    <w:p w14:paraId="22042B8A">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供货（服务）地点：见投标人须知前附表。</w:t>
      </w:r>
    </w:p>
    <w:p w14:paraId="47C67F5D">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1.2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及联系人: 见投标人须知前附表。</w:t>
      </w:r>
    </w:p>
    <w:p w14:paraId="2C1CC312">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招标代理机构</w:t>
      </w:r>
      <w:r>
        <w:rPr>
          <w:rFonts w:hint="eastAsia" w:ascii="宋体" w:hAnsi="宋体" w:cs="宋体"/>
          <w:color w:val="auto"/>
          <w:szCs w:val="21"/>
          <w:highlight w:val="none"/>
        </w:rPr>
        <w:t>及联系人: 见投标人须知前附表。</w:t>
      </w:r>
    </w:p>
    <w:p w14:paraId="1015923B">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 资金来源：见投标人须知前附表。</w:t>
      </w:r>
    </w:p>
    <w:p w14:paraId="561B281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 本项目预算：见投标人须知前附表。</w:t>
      </w:r>
    </w:p>
    <w:p w14:paraId="1DB222E7">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 本项目最高限价：见投标人须知前附表。</w:t>
      </w:r>
    </w:p>
    <w:p w14:paraId="65FD78C1">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 招标范围：</w:t>
      </w:r>
    </w:p>
    <w:p w14:paraId="7BFDDD2F">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2.1 采购内容：见投标人须知前附表。</w:t>
      </w:r>
    </w:p>
    <w:p w14:paraId="4D45A39F">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技术要求：详见招标文件第四章采购需求及技术参数要求。</w:t>
      </w:r>
    </w:p>
    <w:p w14:paraId="4435FBF0">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 标包划分：</w:t>
      </w:r>
    </w:p>
    <w:p w14:paraId="47C17F6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 本项目划分：见投标人须知前附表。</w:t>
      </w:r>
    </w:p>
    <w:p w14:paraId="59B61620">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4. 招标方式：</w:t>
      </w:r>
    </w:p>
    <w:p w14:paraId="5B6910A2">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 本项目招标方式：见投标人须知前附表。</w:t>
      </w:r>
    </w:p>
    <w:p w14:paraId="487C3F49">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5. 计价方式：</w:t>
      </w:r>
    </w:p>
    <w:p w14:paraId="048F757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 本次招标项目合同采用</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单</w:t>
      </w:r>
      <w:r>
        <w:rPr>
          <w:rFonts w:hint="eastAsia" w:ascii="宋体" w:hAnsi="宋体" w:cs="宋体"/>
          <w:color w:val="auto"/>
          <w:szCs w:val="21"/>
          <w:highlight w:val="none"/>
          <w:u w:val="single"/>
        </w:rPr>
        <w:t>价 。</w:t>
      </w:r>
    </w:p>
    <w:p w14:paraId="2759CC16">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6. 评标办法：</w:t>
      </w:r>
    </w:p>
    <w:p w14:paraId="66FA17FC">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 本次招标评标采用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综合评分法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（详见第三章评标办法）</w:t>
      </w:r>
    </w:p>
    <w:p w14:paraId="2C3C03B2">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7. 投标人资格：</w:t>
      </w:r>
    </w:p>
    <w:p w14:paraId="2B4CBD46">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 由于项目的差异性，投标人在参与具体项目</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活动时，应仔细阅读该项目的</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要求,具体见投标人须知前附表。</w:t>
      </w:r>
    </w:p>
    <w:p w14:paraId="512A644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根据电子化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的特点，投标人参加本项目投标，需在安徽省公共资源交易市场主体库（http://61.190.70.20/ahggfwpt-zhutiku）登记并进行信息确认提交。</w:t>
      </w:r>
    </w:p>
    <w:p w14:paraId="2B95DEA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投标人必须确保自己在信息库中注册的信息真实、准确，并保证投标文件中的有关信息与库中的信息相一致。否则，投标人因此蒙受损失，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概不负责。</w:t>
      </w:r>
    </w:p>
    <w:p w14:paraId="2C735CB2">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638706AC">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8.1 投标人准备和参加投标活动发生的费用自理。</w:t>
      </w:r>
    </w:p>
    <w:p w14:paraId="27EED145">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9.</w:t>
      </w:r>
      <w:bookmarkStart w:id="31" w:name="_Toc296602429"/>
      <w:bookmarkStart w:id="32" w:name="_Toc247592876"/>
      <w:bookmarkStart w:id="33" w:name="_Toc144974507"/>
      <w:bookmarkStart w:id="34" w:name="_Toc152042315"/>
      <w:bookmarkStart w:id="35" w:name="_Toc247527563"/>
      <w:bookmarkStart w:id="36" w:name="_Toc152045539"/>
      <w:bookmarkStart w:id="37" w:name="_Toc247513962"/>
      <w:r>
        <w:rPr>
          <w:rFonts w:hint="eastAsia" w:ascii="宋体" w:hAnsi="宋体" w:cs="宋体"/>
          <w:b/>
          <w:color w:val="auto"/>
          <w:szCs w:val="21"/>
          <w:highlight w:val="none"/>
        </w:rPr>
        <w:t xml:space="preserve"> 踏勘现场</w:t>
      </w:r>
      <w:bookmarkEnd w:id="31"/>
      <w:bookmarkEnd w:id="32"/>
      <w:bookmarkEnd w:id="33"/>
      <w:bookmarkEnd w:id="34"/>
      <w:bookmarkEnd w:id="35"/>
      <w:bookmarkEnd w:id="36"/>
      <w:bookmarkEnd w:id="37"/>
    </w:p>
    <w:p w14:paraId="093ED9D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9.1 投标人须知前附表规定组织踏勘现场的，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按投标人须知前附表规定的时间、地点组织投标人踏勘项目现场。 </w:t>
      </w:r>
    </w:p>
    <w:p w14:paraId="467CB07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0CAC0BA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9.3 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的原因外，投标人自行负责在踏勘现场中所发生的人员伤亡和财产损失。</w:t>
      </w:r>
    </w:p>
    <w:p w14:paraId="366F428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9.4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在踏勘现场中介绍的场地和相关的周边环境情况，供投标人在编制投标文件时参考，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不对投标人据此作出的判断和决策负责。</w:t>
      </w:r>
      <w:bookmarkStart w:id="38" w:name="_Toc152042316"/>
      <w:bookmarkStart w:id="39" w:name="_Toc152045540"/>
      <w:bookmarkStart w:id="40" w:name="_Toc247527564"/>
      <w:bookmarkStart w:id="41" w:name="_Toc247513963"/>
      <w:bookmarkStart w:id="42" w:name="_Toc247592877"/>
      <w:bookmarkStart w:id="43" w:name="_Toc296602430"/>
      <w:bookmarkStart w:id="44" w:name="_Toc144974508"/>
    </w:p>
    <w:p w14:paraId="7E29FD1D">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38"/>
      <w:bookmarkEnd w:id="39"/>
      <w:bookmarkEnd w:id="40"/>
      <w:bookmarkEnd w:id="41"/>
      <w:bookmarkEnd w:id="42"/>
      <w:bookmarkEnd w:id="43"/>
      <w:bookmarkEnd w:id="44"/>
      <w:r>
        <w:rPr>
          <w:rFonts w:hint="eastAsia" w:ascii="宋体" w:hAnsi="宋体" w:cs="宋体"/>
          <w:b/>
          <w:color w:val="auto"/>
          <w:szCs w:val="21"/>
          <w:highlight w:val="none"/>
        </w:rPr>
        <w:t>（本项目不采用）</w:t>
      </w:r>
    </w:p>
    <w:p w14:paraId="06B579F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10.1 投标人须知前附表规定召开投标预备会的，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按投标人须知前附表规定的时间和地点召开投标预备会，澄清投标人提出的问题。</w:t>
      </w:r>
    </w:p>
    <w:p w14:paraId="07FA2B2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10.2 投标人应在投标人须知前附表规定的时间前，将提出的问题送达</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，以便</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澄清。</w:t>
      </w:r>
    </w:p>
    <w:p w14:paraId="3F06295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10.3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在投标人须知前附表规定的时间，将对投标人所提的问题进行澄清。该澄清内容为招标文件的组成部分。</w:t>
      </w:r>
    </w:p>
    <w:p w14:paraId="443FCA49">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11. 联合投标(本项目不采用）</w:t>
      </w:r>
    </w:p>
    <w:p w14:paraId="63123AA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 两个以上投标人可以组成一个投标联合体，以一个投标人的身份投标。以联合体形式参加投标的，联合体各方均应当符合</w:t>
      </w:r>
      <w:r>
        <w:rPr>
          <w:rFonts w:hint="eastAsia" w:ascii="宋体" w:hAnsi="宋体" w:cs="宋体"/>
          <w:color w:val="auto"/>
          <w:szCs w:val="21"/>
          <w:highlight w:val="none"/>
          <w:lang w:val="en-US" w:eastAsia="zh-CN"/>
        </w:rPr>
        <w:t>招标文件资格要求</w:t>
      </w:r>
      <w:r>
        <w:rPr>
          <w:rFonts w:hint="eastAsia" w:ascii="宋体" w:hAnsi="宋体" w:cs="宋体"/>
          <w:color w:val="auto"/>
          <w:szCs w:val="21"/>
          <w:highlight w:val="none"/>
        </w:rPr>
        <w:t>规定的条件。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项目的特殊要求规定投标人特定条件的，联合体各方中至少应当有一方符合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规定的特定条件。</w:t>
      </w:r>
    </w:p>
    <w:p w14:paraId="2420BED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11.2 联合体各方之间应当签订共同投标协议，明确约定联合体各方承担的工作和相应的责任，并将共同投标协议连同投标文件一并提交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。联合体各方签订共同投标协议后，不得再以自己名义单独在同一项目中投标，也不得组成新的联合体参加同一项目投标。</w:t>
      </w:r>
    </w:p>
    <w:p w14:paraId="113ABF1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11.3 联合体应当确定其中一个单位为投标的全权代表，负责参加投标的一切事务，并承担投标及履约中应承担的全部责任与义务。</w:t>
      </w:r>
    </w:p>
    <w:p w14:paraId="3217AFCF">
      <w:pPr>
        <w:pStyle w:val="3"/>
        <w:spacing w:after="0"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11.4 联合体各方应当共同与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签订合同，就合同约定的事项对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承担连带责任。</w:t>
      </w:r>
    </w:p>
    <w:p w14:paraId="22DD1E4C">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12. 招标代理费</w:t>
      </w:r>
    </w:p>
    <w:p w14:paraId="7F66066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 xml:space="preserve">12.1 </w:t>
      </w:r>
      <w:r>
        <w:rPr>
          <w:rFonts w:hint="eastAsia" w:ascii="宋体" w:hAnsi="宋体" w:cs="宋体"/>
          <w:color w:val="auto"/>
          <w:szCs w:val="21"/>
          <w:highlight w:val="none"/>
        </w:rPr>
        <w:t>本项目的招标代理费详见投标人须知前附表。</w:t>
      </w:r>
    </w:p>
    <w:p w14:paraId="6F89BF07">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13. 投标人应注意的事项</w:t>
      </w:r>
    </w:p>
    <w:p w14:paraId="221C6B1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 投标人一旦按规定</w:t>
      </w:r>
      <w:r>
        <w:rPr>
          <w:rFonts w:hint="eastAsia" w:ascii="宋体"/>
          <w:color w:val="auto"/>
          <w:szCs w:val="21"/>
          <w:highlight w:val="none"/>
        </w:rPr>
        <w:t>参加</w:t>
      </w:r>
      <w:r>
        <w:rPr>
          <w:rFonts w:hint="eastAsia" w:ascii="宋体" w:hAnsi="宋体" w:cs="宋体"/>
          <w:color w:val="auto"/>
          <w:szCs w:val="21"/>
          <w:highlight w:val="none"/>
        </w:rPr>
        <w:t>投标，即被认为接受了本招标文件中的所有条件和规定。投标人必须严格按招标文件的要求编制投标文件，以便评委审核。否则，由此产生的一切后果由投标人承担。</w:t>
      </w:r>
    </w:p>
    <w:p w14:paraId="4223C33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 投标人对采购内容中规定的技术参数、规格、数量和要求等必须最大限度的满足招标文件的相关要求。</w:t>
      </w:r>
    </w:p>
    <w:p w14:paraId="6600D05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13.3 推荐品牌有助于投标人选择所投产品，仅供参考，并无限制性，可以选择性能不低于推荐品牌的产品，但所投产品的技术参数，要最大限度满足招标文件提供的详细参数。</w:t>
      </w:r>
    </w:p>
    <w:p w14:paraId="0B6EA3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13.4 所有投标人的投标保证金都应在投标文件规定的投标保证金缴纳截止时间前缴纳，以资金到账时间为准</w:t>
      </w:r>
      <w:r>
        <w:rPr>
          <w:rFonts w:hint="eastAsia" w:ascii="宋体" w:hAnsi="宋体" w:cs="宋体"/>
          <w:b/>
          <w:color w:val="auto"/>
          <w:szCs w:val="21"/>
          <w:highlight w:val="none"/>
        </w:rPr>
        <w:t>（采用支票、汇票、本票、保函等的，以支票、汇票、本票、保函等递交的时间为准）</w:t>
      </w:r>
      <w:r>
        <w:rPr>
          <w:rFonts w:hint="eastAsia" w:ascii="宋体" w:hAnsi="宋体" w:cs="宋体"/>
          <w:color w:val="auto"/>
          <w:szCs w:val="21"/>
          <w:highlight w:val="none"/>
        </w:rPr>
        <w:t>。</w:t>
      </w:r>
    </w:p>
    <w:p w14:paraId="58EDB6F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13.5 单位负责人为同一人或者存在直接控股、管理关系的不同投标人，不得参加同一合同项下的</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活动。为</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项目提供整体设计、规范编制或者项目管理、监理、检测等服务的投标人，不得再参加该</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项目的其他</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活动。</w:t>
      </w:r>
    </w:p>
    <w:p w14:paraId="41EB5D9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13.6 投标人被视为充分熟悉本招标项目所在地的与履行合同有关的各种情况，包括但不限于：</w:t>
      </w:r>
    </w:p>
    <w:p w14:paraId="7410452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517D959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24589C5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的相关场地情况、基础建设、电力供应情况及相关设计标准。</w:t>
      </w:r>
    </w:p>
    <w:p w14:paraId="50EEE57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3663122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13.7 凡投标人在我市公共资源交易活动中出现违法违规、破坏市场秩序等不良行为且被监管部门处罚的，一律在滁州市公共资源交易网等相关网站曝光。</w:t>
      </w:r>
    </w:p>
    <w:p w14:paraId="2D91B9B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13.8 投标人的不良行为、失信行为及行政处罚等效力不因企业名称的变更而改变。</w:t>
      </w:r>
    </w:p>
    <w:p w14:paraId="4D3233A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13.9 中标候选人无正当理由放弃中标候选人资格的，其将被记不良信息记录。</w:t>
      </w:r>
    </w:p>
    <w:p w14:paraId="04414D39">
      <w:pPr>
        <w:pStyle w:val="2"/>
        <w:spacing w:after="0" w:line="44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14. 若存在不予退还投标人投标保证金的情形，银行转账的，由县公共资源交易中心代为收缴，递交保函、支票、汇票、本票的，由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予以追缴。</w:t>
      </w:r>
    </w:p>
    <w:p w14:paraId="5C04CDB0">
      <w:pPr>
        <w:spacing w:before="156" w:beforeLines="50" w:after="156" w:afterLines="50" w:line="440" w:lineRule="exact"/>
        <w:jc w:val="center"/>
        <w:rPr>
          <w:rFonts w:hint="eastAsia" w:ascii="宋体" w:hAnsi="宋体" w:cs="宋体"/>
          <w:b/>
          <w:color w:val="auto"/>
          <w:sz w:val="28"/>
          <w:szCs w:val="28"/>
          <w:highlight w:val="none"/>
        </w:rPr>
      </w:pPr>
      <w:bookmarkStart w:id="45" w:name="_Toc449028868"/>
      <w:r>
        <w:rPr>
          <w:rFonts w:hint="eastAsia" w:ascii="宋体" w:hAnsi="宋体" w:cs="宋体"/>
          <w:b/>
          <w:color w:val="auto"/>
          <w:sz w:val="28"/>
          <w:szCs w:val="28"/>
          <w:highlight w:val="none"/>
        </w:rPr>
        <w:t>（二）</w:t>
      </w:r>
      <w:bookmarkEnd w:id="45"/>
      <w:r>
        <w:rPr>
          <w:rFonts w:hint="eastAsia" w:ascii="宋体" w:hAnsi="宋体" w:cs="宋体"/>
          <w:b/>
          <w:color w:val="auto"/>
          <w:sz w:val="28"/>
          <w:szCs w:val="28"/>
          <w:highlight w:val="none"/>
        </w:rPr>
        <w:t>招标文件</w:t>
      </w:r>
    </w:p>
    <w:p w14:paraId="04DA6A92">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15. 招标文件的编制依据</w:t>
      </w:r>
    </w:p>
    <w:p w14:paraId="387D9CA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color w:val="auto"/>
          <w:highlight w:val="none"/>
        </w:rPr>
        <w:t>《中华人民共和国</w:t>
      </w:r>
      <w:r>
        <w:rPr>
          <w:rFonts w:hint="eastAsia"/>
          <w:color w:val="auto"/>
          <w:highlight w:val="none"/>
          <w:lang w:val="en-US" w:eastAsia="zh-CN"/>
        </w:rPr>
        <w:t>招标投标法</w:t>
      </w:r>
      <w:r>
        <w:rPr>
          <w:rFonts w:hint="eastAsia"/>
          <w:color w:val="auto"/>
          <w:highlight w:val="none"/>
        </w:rPr>
        <w:t>》、《中华人民共和国</w:t>
      </w:r>
      <w:r>
        <w:rPr>
          <w:rFonts w:hint="eastAsia"/>
          <w:color w:val="auto"/>
          <w:highlight w:val="none"/>
          <w:lang w:val="en-US" w:eastAsia="zh-CN"/>
        </w:rPr>
        <w:t>招标投标法</w:t>
      </w:r>
      <w:r>
        <w:rPr>
          <w:rFonts w:hint="eastAsia"/>
          <w:color w:val="auto"/>
          <w:highlight w:val="none"/>
        </w:rPr>
        <w:t>实施条例》</w:t>
      </w:r>
      <w:r>
        <w:rPr>
          <w:rFonts w:hint="eastAsia" w:ascii="宋体"/>
          <w:color w:val="auto"/>
          <w:szCs w:val="21"/>
          <w:highlight w:val="none"/>
        </w:rPr>
        <w:t>和</w:t>
      </w:r>
      <w:r>
        <w:rPr>
          <w:rFonts w:hint="eastAsia"/>
          <w:color w:val="auto"/>
          <w:highlight w:val="none"/>
        </w:rPr>
        <w:t>《中华人民共和国民法典》</w:t>
      </w:r>
      <w:r>
        <w:rPr>
          <w:rFonts w:hint="eastAsia" w:ascii="宋体" w:hAnsi="宋体" w:cs="宋体"/>
          <w:color w:val="auto"/>
          <w:spacing w:val="-2"/>
          <w:szCs w:val="21"/>
          <w:highlight w:val="none"/>
        </w:rPr>
        <w:t>等相关法律法规和规章及部、省、市级规范性文件的规定，编制本招标文件。</w:t>
      </w:r>
    </w:p>
    <w:p w14:paraId="1AA32116">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16. 招标文件的组成</w:t>
      </w:r>
    </w:p>
    <w:p w14:paraId="1390697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 招标文件包括内容：</w:t>
      </w:r>
    </w:p>
    <w:p w14:paraId="07D5984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第一章 招标公告</w:t>
      </w:r>
    </w:p>
    <w:p w14:paraId="56C71BC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6D93ECD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5357556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第四章 采购需求及技术参数要求</w:t>
      </w:r>
    </w:p>
    <w:p w14:paraId="0E0A7DD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第五章 合同条款及格式</w:t>
      </w:r>
    </w:p>
    <w:p w14:paraId="3BA2DA0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712BCE4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 除16.1款内容外，招标答疑亦为招标文件的组成部分，对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和投标人起约束作用。</w:t>
      </w:r>
    </w:p>
    <w:p w14:paraId="7AC4C9F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16.3 投标人应仔细阅读和检查招标文件的全部内容。如发现缺页或附件不全，应及时向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以便补齐。如投标人对招标文件有疑问，应在投标人须知前附表规定的时间前在滁州市公共资源交易中心网电子交易系统中进行异议（质疑），具体操作步骤和程序请参见服务指南&gt;交易须知&gt;在线异议、质疑和投诉操作手册。</w:t>
      </w:r>
    </w:p>
    <w:p w14:paraId="1627095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16.4 招标文件的澄清将在滁州市公共资源交易中心（http://ggzy.chuzhou.gov.cn/）发布，但不指明澄清问题的来源。如果澄清内容影响投标文件编制的，将相应延长投标截止时间。</w:t>
      </w:r>
    </w:p>
    <w:p w14:paraId="227761FE">
      <w:pPr>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17. 招标文件的修改、补充、解释</w:t>
      </w:r>
    </w:p>
    <w:p w14:paraId="36F5E8F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17.1 招标文件发出后，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规定的投标截止时间前可对招标文件进行必要的修改和补充，并以澄清公告形式在滁州市公共资源交易中心（http://ggzy.chuzhou.gov.cn/）予以公告，请各位投标人注意查看有关澄清内容，如不及时查看造成后果由投标人自负。招标文件的修改、补充等内容作为招标文件的组成部分，具有约束作用。</w:t>
      </w:r>
    </w:p>
    <w:p w14:paraId="5563ACE2">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17.2 投标人应在投标截止时间前关注原</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信息发布媒体上有关本项目有无变更公告，如不及时查看造成后果由投标人自负。</w:t>
      </w:r>
    </w:p>
    <w:p w14:paraId="432EE6D0">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17.3 招标文件的解释</w:t>
      </w:r>
    </w:p>
    <w:p w14:paraId="3BBBF42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6A1188B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61D3A94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69B409E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32FC079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按本款前述规定仍不能形成结论的，由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（或其委托的</w:t>
      </w:r>
      <w:r>
        <w:rPr>
          <w:rFonts w:hint="eastAsia" w:ascii="宋体" w:hAnsi="宋体" w:cs="宋体"/>
          <w:color w:val="auto"/>
          <w:szCs w:val="21"/>
          <w:highlight w:val="none"/>
          <w:lang w:eastAsia="zh-CN"/>
        </w:rPr>
        <w:t>招标代理机构</w:t>
      </w:r>
      <w:r>
        <w:rPr>
          <w:rFonts w:hint="eastAsia" w:ascii="宋体" w:hAnsi="宋体" w:cs="宋体"/>
          <w:color w:val="auto"/>
          <w:szCs w:val="21"/>
          <w:highlight w:val="none"/>
        </w:rPr>
        <w:t>）负责解释。</w:t>
      </w:r>
    </w:p>
    <w:p w14:paraId="2E8DBAE9">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18. 招标文件的发出</w:t>
      </w:r>
    </w:p>
    <w:p w14:paraId="0E04DD5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18.1 招标文件、招标文件的澄清、修改、补充及招标答疑等均应报公共资源交易监督管理机构备案后，方可发出。</w:t>
      </w:r>
    </w:p>
    <w:p w14:paraId="75848474">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19. 样品</w:t>
      </w:r>
      <w:r>
        <w:rPr>
          <w:rFonts w:hint="eastAsia" w:ascii="宋体" w:hAnsi="宋体" w:cs="宋体"/>
          <w:b/>
          <w:bCs/>
          <w:color w:val="auto"/>
          <w:szCs w:val="21"/>
          <w:highlight w:val="none"/>
        </w:rPr>
        <w:t>（本项目不需要提供样品）</w:t>
      </w:r>
    </w:p>
    <w:p w14:paraId="7B37D9A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19.1 凡需要设置样品情形时，必须明确是否需要随样品提交检测报告，并明确检测机构的要求、检测内容、中标样品封存等事项。（评标委员会无法判断样品是否合格且样品需要提供给第三方权威检测机构检测的,在投标人提供</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认可的第三方权威检测机构检测报告后，评标委员会推荐的中标候选人方可生效，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或代理机构发布中标（成交）结果公告。</w:t>
      </w:r>
    </w:p>
    <w:p w14:paraId="534CA934">
      <w:pPr>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19.2 招标文件中应明确样品送检方式、检测费用支付方法、投标人在规定时间内无法提供第三方权威检测机构检测报告的处理方式。</w:t>
      </w:r>
    </w:p>
    <w:p w14:paraId="38017FB1">
      <w:pPr>
        <w:spacing w:before="156" w:beforeLines="50" w:after="156" w:afterLines="50" w:line="440" w:lineRule="exact"/>
        <w:jc w:val="center"/>
        <w:rPr>
          <w:rFonts w:hint="eastAsia" w:ascii="宋体" w:hAnsi="宋体" w:cs="宋体"/>
          <w:b/>
          <w:color w:val="auto"/>
          <w:sz w:val="28"/>
          <w:szCs w:val="28"/>
          <w:highlight w:val="none"/>
        </w:rPr>
      </w:pPr>
      <w:bookmarkStart w:id="46" w:name="_Toc449028869"/>
      <w:r>
        <w:rPr>
          <w:rFonts w:hint="eastAsia" w:ascii="宋体" w:hAnsi="宋体" w:cs="宋体"/>
          <w:b/>
          <w:color w:val="auto"/>
          <w:sz w:val="28"/>
          <w:szCs w:val="28"/>
          <w:highlight w:val="none"/>
        </w:rPr>
        <w:t>（三）投标文件的编制</w:t>
      </w:r>
      <w:bookmarkEnd w:id="46"/>
    </w:p>
    <w:p w14:paraId="7DE7D257">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20. 投标的语言及度量衡单位</w:t>
      </w:r>
    </w:p>
    <w:p w14:paraId="3F5B966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20.1 投标人的投标文件、以及投标人与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就投标的所有往来函电，均须使用简体中文。</w:t>
      </w:r>
    </w:p>
    <w:p w14:paraId="452B528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20.2 除招标文件中另有规定外，投标文件所使用的度量衡均须采用法定计量单位。</w:t>
      </w:r>
    </w:p>
    <w:p w14:paraId="49711037">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21. 投标文件的组成、上传说明</w:t>
      </w:r>
    </w:p>
    <w:p w14:paraId="6EC617C1">
      <w:pPr>
        <w:spacing w:line="44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21.1 投标文件的组成</w:t>
      </w:r>
    </w:p>
    <w:p w14:paraId="576AB8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投标文件由投标文件一（</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证明文件）、投标文件二（技术标）和投标文件三（商务标）三部分组成。</w:t>
      </w:r>
      <w:r>
        <w:rPr>
          <w:rFonts w:hint="eastAsia" w:ascii="宋体" w:hAnsi="宋体" w:cs="宋体"/>
          <w:b/>
          <w:bCs/>
          <w:color w:val="auto"/>
          <w:szCs w:val="21"/>
          <w:highlight w:val="none"/>
        </w:rPr>
        <w:t>具体内容详见第六章投标文件格式内容。</w:t>
      </w:r>
    </w:p>
    <w:p w14:paraId="21A690E7">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21.2 投标文件的上传</w:t>
      </w:r>
    </w:p>
    <w:p w14:paraId="148B3FD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人在滁州市公共资源交易中心网，利用用户名或CA数字证书登录下载招标文件(.czzf格式)后，在下载投标文件制作工具安装后，在线制作投标文件，制作好的投标文件格式有2种:第一种.cztf格式加密投标文件；第二种.ncztf格式是非加密投标文件。请投标人将第一种投标文件通过系统“上传投标文件”上传到系统中。</w:t>
      </w:r>
    </w:p>
    <w:p w14:paraId="6AB1719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（2）如果一个项目有多个标段，则需按标段下载对应标段招标文件分别生成对应的投标文件，通过系统“上传投标文件”按标段分别上传到系统中。</w:t>
      </w:r>
    </w:p>
    <w:p w14:paraId="743C8F2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（3）请投标人通过系统下载投标工具制作投标文件，并利用CA数字证书进行上传投标文件，上传已加密的投标文件，务必通过此方式上传投标文件。</w:t>
      </w:r>
    </w:p>
    <w:p w14:paraId="0126262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（4）投标人在投标文件编制、签章、上传过程中如有任何操作的疑问请及时联系技术支持，电话： 0550-3801701。</w:t>
      </w:r>
    </w:p>
    <w:p w14:paraId="1647B42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如果因投标人自身原因导致投标文件在规定时间内未能解密、解密失败或解密超时，投标文件无效；因代理公司原因或网上平台发生故障，导致无法按时完成投标文件解密的，经代理公司申请后可延迟解密时间。</w:t>
      </w:r>
    </w:p>
    <w:p w14:paraId="4D493EEF">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21.3 投标文件的编制</w:t>
      </w:r>
    </w:p>
    <w:p w14:paraId="48CDBA2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72DFDA9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（2）本次招标投标不需要提供纸质投标文件，投标人应按照电子招标投标的要求，在投标人的会员系统中制作、电子签章、上传投标文件。</w:t>
      </w:r>
    </w:p>
    <w:p w14:paraId="5A19193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（3）网上递交的电子投标文件制作工具等要求详见系统内帮助模块。</w:t>
      </w:r>
    </w:p>
    <w:p w14:paraId="26023FA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（4）网上递交的电子投标文件应按招标文件规定的格式由投标人的法定代表人和投标人分别签章。</w:t>
      </w:r>
    </w:p>
    <w:p w14:paraId="17FBCA2E">
      <w:pPr>
        <w:spacing w:line="44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22</w:t>
      </w:r>
      <w:r>
        <w:rPr>
          <w:rFonts w:hint="eastAsia" w:ascii="宋体" w:hAnsi="宋体" w:cs="宋体"/>
          <w:color w:val="auto"/>
          <w:szCs w:val="21"/>
          <w:highlight w:val="none"/>
        </w:rPr>
        <w:t xml:space="preserve">. </w:t>
      </w:r>
      <w:r>
        <w:rPr>
          <w:rFonts w:hint="eastAsia" w:ascii="宋体" w:hAnsi="宋体" w:cs="宋体"/>
          <w:b/>
          <w:color w:val="auto"/>
          <w:szCs w:val="21"/>
          <w:highlight w:val="none"/>
        </w:rPr>
        <w:t>投标报价</w:t>
      </w:r>
    </w:p>
    <w:p w14:paraId="651FFB1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22.1投标报价文件中的单价和总价全部采用人民币表示。投标报价应包括货物本身、货物包装费用、运送至采购人指定位置的运输费、卸至采购人指定位置的装卸费、货物</w:t>
      </w:r>
      <w:r>
        <w:rPr>
          <w:rFonts w:hint="eastAsia" w:ascii="宋体" w:hAnsi="宋体" w:cs="宋体"/>
          <w:color w:val="auto"/>
          <w:szCs w:val="21"/>
          <w:highlight w:val="none"/>
          <w:lang w:val="en-US" w:eastAsia="zh-CN"/>
        </w:rPr>
        <w:t>抽检</w:t>
      </w:r>
      <w:r>
        <w:rPr>
          <w:rFonts w:hint="eastAsia" w:ascii="宋体" w:hAnsi="宋体" w:eastAsia="宋体" w:cs="宋体"/>
          <w:color w:val="auto"/>
          <w:szCs w:val="21"/>
          <w:highlight w:val="none"/>
        </w:rPr>
        <w:t>所产生的费用、</w:t>
      </w:r>
      <w:r>
        <w:rPr>
          <w:rFonts w:hint="eastAsia" w:ascii="宋体" w:hAnsi="宋体" w:eastAsia="宋体" w:cs="宋体"/>
          <w:color w:val="auto"/>
          <w:szCs w:val="21"/>
          <w:highlight w:val="none"/>
          <w:lang w:val="en-US" w:eastAsia="zh-CN"/>
        </w:rPr>
        <w:t>采购需求中要求提供的其他服务所需费用、</w:t>
      </w:r>
      <w:r>
        <w:rPr>
          <w:rFonts w:hint="eastAsia" w:ascii="宋体" w:hAnsi="宋体" w:eastAsia="宋体" w:cs="宋体"/>
          <w:color w:val="auto"/>
          <w:szCs w:val="21"/>
          <w:highlight w:val="none"/>
        </w:rPr>
        <w:t>管理费、利润、招标代理费用、专家评审费、国家对供应商征收的各种税费（增值税专用发票）、招标过程中发生的费用及质量保证期内发生的任何缺陷的修复等所需的一切费用，均列入到报价之中。验收费用包含在总报价中，具体费用由中标人现场按实际支付。最终的采购数量以采购人生产实际需要为准。</w:t>
      </w:r>
    </w:p>
    <w:p w14:paraId="36D565B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投标人只允许有一个方案、一个报价。</w:t>
      </w:r>
    </w:p>
    <w:p w14:paraId="7C3334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22.5</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投标文件报价为含税价，招标人不再为此次招标支付任何费用。</w:t>
      </w:r>
    </w:p>
    <w:p w14:paraId="74EE1CE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22.6</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投标报价应由法定代表人或被授权人签署。</w:t>
      </w:r>
    </w:p>
    <w:p w14:paraId="610E7E5D">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22.7</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投标人的报价不得高于本次招标最高限价</w:t>
      </w:r>
      <w:r>
        <w:rPr>
          <w:rFonts w:hint="eastAsia" w:ascii="宋体" w:hAnsi="宋体" w:cs="宋体"/>
          <w:b/>
          <w:color w:val="auto"/>
          <w:szCs w:val="21"/>
          <w:highlight w:val="none"/>
        </w:rPr>
        <w:t>，</w:t>
      </w:r>
      <w:r>
        <w:rPr>
          <w:rFonts w:hint="eastAsia" w:ascii="宋体" w:hAnsi="宋体" w:cs="宋体"/>
          <w:b/>
          <w:bCs/>
          <w:color w:val="auto"/>
          <w:szCs w:val="21"/>
          <w:highlight w:val="none"/>
        </w:rPr>
        <w:t>否则将作为无效投标处理。</w:t>
      </w:r>
    </w:p>
    <w:p w14:paraId="0559664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22.8</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如投标文件中未列明全面实现投标货物功能</w:t>
      </w:r>
      <w:r>
        <w:rPr>
          <w:rFonts w:hint="eastAsia" w:ascii="宋体" w:hAnsi="宋体" w:cs="宋体"/>
          <w:color w:val="auto"/>
          <w:szCs w:val="21"/>
          <w:highlight w:val="none"/>
          <w:lang w:val="en-US" w:eastAsia="zh-CN"/>
        </w:rPr>
        <w:t>或服务要求</w:t>
      </w:r>
      <w:r>
        <w:rPr>
          <w:rFonts w:hint="eastAsia" w:ascii="宋体" w:hAnsi="宋体" w:cs="宋体"/>
          <w:color w:val="auto"/>
          <w:szCs w:val="21"/>
          <w:highlight w:val="none"/>
        </w:rPr>
        <w:t>而必须配置的配套或辅助设施及相应技术措施的费用，这些费用将被视为已包含在总投标价中。</w:t>
      </w:r>
    </w:p>
    <w:p w14:paraId="565ABEB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22.9</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总投标价中不得缺漏</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p>
    <w:p w14:paraId="617656FC">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23. 投标有效期</w:t>
      </w:r>
    </w:p>
    <w:p w14:paraId="6C95E0A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23.1 除投标人须知前附表另有规定外，投标有效期为</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天。</w:t>
      </w:r>
    </w:p>
    <w:p w14:paraId="20D6ED6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23.2 在投标有效期内，投标人撤销或修改其投标文件的，应承担招标文件和法律规定的责任。</w:t>
      </w:r>
    </w:p>
    <w:p w14:paraId="5623C76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23.3 出现特殊情况需要延长投标有效期的，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BAB8F8D">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24. 投标保证金</w:t>
      </w:r>
    </w:p>
    <w:p w14:paraId="419EAA5E">
      <w:pPr>
        <w:spacing w:line="440" w:lineRule="exact"/>
        <w:ind w:firstLine="420" w:firstLineChars="200"/>
        <w:jc w:val="left"/>
        <w:rPr>
          <w:rFonts w:hint="eastAsia" w:ascii="宋体" w:hAnsi="宋体" w:cs="宋体"/>
          <w:b/>
          <w:color w:val="auto"/>
          <w:sz w:val="28"/>
          <w:szCs w:val="28"/>
          <w:highlight w:val="none"/>
        </w:rPr>
      </w:pPr>
      <w:r>
        <w:rPr>
          <w:rFonts w:hint="eastAsia" w:ascii="宋体" w:hAnsi="宋体" w:cs="宋体"/>
          <w:color w:val="auto"/>
          <w:szCs w:val="21"/>
          <w:highlight w:val="none"/>
        </w:rPr>
        <w:t xml:space="preserve">24.1 </w:t>
      </w:r>
      <w:bookmarkStart w:id="47" w:name="_Toc449028870"/>
      <w:r>
        <w:rPr>
          <w:rFonts w:hint="eastAsia" w:ascii="宋体" w:hAnsi="宋体" w:cs="宋体"/>
          <w:color w:val="auto"/>
          <w:szCs w:val="21"/>
          <w:highlight w:val="none"/>
        </w:rPr>
        <w:t>本项目不缴纳投标保证金</w:t>
      </w:r>
    </w:p>
    <w:p w14:paraId="4303CD29">
      <w:pPr>
        <w:spacing w:before="156" w:beforeLines="50" w:after="156" w:afterLines="50"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（四）投标文件的递交</w:t>
      </w:r>
      <w:bookmarkEnd w:id="47"/>
    </w:p>
    <w:p w14:paraId="46225CBC">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25. 投标文件的份数和签署</w:t>
      </w:r>
    </w:p>
    <w:p w14:paraId="2D5D9173">
      <w:pPr>
        <w:spacing w:line="440" w:lineRule="exact"/>
        <w:ind w:firstLine="420" w:firstLineChars="200"/>
        <w:jc w:val="left"/>
        <w:rPr>
          <w:rFonts w:hint="eastAsia" w:ascii="宋体" w:hAnsi="宋体" w:cs="宋体"/>
          <w:b/>
          <w:color w:val="auto"/>
          <w:szCs w:val="21"/>
          <w:highlight w:val="none"/>
        </w:rPr>
      </w:pPr>
      <w:bookmarkStart w:id="48" w:name="_Toc449028871"/>
      <w:r>
        <w:rPr>
          <w:rFonts w:hint="eastAsia" w:ascii="宋体" w:hAnsi="宋体" w:cs="宋体"/>
          <w:color w:val="auto"/>
          <w:szCs w:val="21"/>
          <w:highlight w:val="none"/>
        </w:rPr>
        <w:t xml:space="preserve">25.1 </w:t>
      </w:r>
      <w:r>
        <w:rPr>
          <w:rFonts w:hint="eastAsia" w:ascii="宋体" w:hAnsi="宋体" w:cs="宋体"/>
          <w:b/>
          <w:color w:val="auto"/>
          <w:szCs w:val="21"/>
          <w:highlight w:val="none"/>
        </w:rPr>
        <w:t>投标文件份数：网上递交的电子投标文件：一份。以投标人在投标截止时间前网上递交的电子投标文件为准，逾期提交的，投标文件将被拒绝。</w:t>
      </w:r>
    </w:p>
    <w:p w14:paraId="50D56B7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（投标人中标后须递交与网上电子投标文件完全一致的纸质版投标文件，并按要求加盖公章；份数：3份；中标单位领取中标通知书时，一并递交给代理机构）</w:t>
      </w:r>
    </w:p>
    <w:p w14:paraId="5C21FB9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25.2 </w:t>
      </w:r>
      <w:r>
        <w:rPr>
          <w:rFonts w:hint="eastAsia" w:ascii="宋体" w:hAnsi="宋体" w:cs="宋体"/>
          <w:b/>
          <w:color w:val="auto"/>
          <w:szCs w:val="21"/>
          <w:highlight w:val="none"/>
        </w:rPr>
        <w:t>电子投标文件须按格式文件要求签字或盖章（电子签章），否则经评委会一致认定, 按照无效投标处理。</w:t>
      </w:r>
    </w:p>
    <w:p w14:paraId="1A661543">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26. 投标文件的提交</w:t>
      </w:r>
    </w:p>
    <w:p w14:paraId="012897C8">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26.1 投标人应在投标人须知前附表规定的投标截止时间前在网上递交投标文件。未在开标截止时间前通过网上招标投标系统递交有效电子投标文件的，开标系统不予接收，投标将被拒绝。</w:t>
      </w:r>
    </w:p>
    <w:p w14:paraId="5F9D58EF">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27． 投标文件的补充、修改与撤回</w:t>
      </w:r>
    </w:p>
    <w:p w14:paraId="72AD4173">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27.1 采用网上招投标的，在规定的投标截止时间前，投标人可以自行从网上招投标系统撤回已递交的投标文件，并可修改后重新上传，开标时以投标截止时间前投标人最终上传的投标文件为准。</w:t>
      </w:r>
    </w:p>
    <w:p w14:paraId="40141791">
      <w:pPr>
        <w:spacing w:before="156" w:beforeLines="50" w:after="156" w:afterLines="50"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（五）开标、评标和定标</w:t>
      </w:r>
      <w:bookmarkEnd w:id="48"/>
    </w:p>
    <w:p w14:paraId="2BAB303F">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28. 开标</w:t>
      </w:r>
    </w:p>
    <w:p w14:paraId="5F6052A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28.1 开标的时间和地点</w:t>
      </w:r>
    </w:p>
    <w:p w14:paraId="63C04CF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28.1.1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按招标公告中的开标时间和地点公开开标，并邀请所有投标人参加。</w:t>
      </w:r>
    </w:p>
    <w:p w14:paraId="0ABDA5D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28.2 参与开标的监督部门</w:t>
      </w:r>
    </w:p>
    <w:p w14:paraId="21A2F54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28.2.1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可以邀请相关监管部门参加。</w:t>
      </w:r>
    </w:p>
    <w:p w14:paraId="6FDDB328">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28.3 开标程序</w:t>
      </w:r>
    </w:p>
    <w:p w14:paraId="1F1A617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开标会议由</w:t>
      </w:r>
      <w:r>
        <w:rPr>
          <w:rFonts w:hint="eastAsia" w:ascii="宋体" w:hAnsi="宋体" w:cs="宋体"/>
          <w:color w:val="auto"/>
          <w:szCs w:val="21"/>
          <w:highlight w:val="none"/>
          <w:lang w:eastAsia="zh-CN"/>
        </w:rPr>
        <w:t>招标代理机构</w:t>
      </w:r>
      <w:r>
        <w:rPr>
          <w:rFonts w:hint="eastAsia" w:ascii="宋体" w:hAnsi="宋体" w:cs="宋体"/>
          <w:color w:val="auto"/>
          <w:szCs w:val="21"/>
          <w:highlight w:val="none"/>
        </w:rPr>
        <w:t>主持。</w:t>
      </w:r>
    </w:p>
    <w:p w14:paraId="1A2C3A4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7C0A3B5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（2）宣布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、代理机构主持人、见证人等有关人员姓名；</w:t>
      </w:r>
    </w:p>
    <w:p w14:paraId="6CEF086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（3）公布投标截止时间前，通过滁州市公共资源交易中心网上招投标系统递交投标文件的投标人名称等； </w:t>
      </w:r>
    </w:p>
    <w:p w14:paraId="1F7B021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（4）投标人在投标截止时间后，规定时间内完成投标文件解密工作；</w:t>
      </w:r>
    </w:p>
    <w:p w14:paraId="4A21AB7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（5）公布投标人投标报价、质量目标、供货期及其他内容，并记录在案；</w:t>
      </w:r>
    </w:p>
    <w:p w14:paraId="76E1EE0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（6）开标结束。</w:t>
      </w:r>
    </w:p>
    <w:p w14:paraId="3CB126D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多标包项目按照标包顺序按以上程序依次开标。</w:t>
      </w:r>
    </w:p>
    <w:p w14:paraId="62E3595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28.4 开标质疑</w:t>
      </w:r>
    </w:p>
    <w:p w14:paraId="18CEC3D5">
      <w:pPr>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投标人对开标有质疑的，应当在开标现场提出，</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当场作出答复，并制作记录。请投标人在滁州市公共资源交易中心网电子交易系统中进行质疑，具体操作步骤和程序请参见服务指南&gt;交易须知&gt;在线异议、质疑和投诉操作手册。</w:t>
      </w:r>
    </w:p>
    <w:p w14:paraId="0EB6CD9E">
      <w:pPr>
        <w:numPr>
          <w:ilvl w:val="0"/>
          <w:numId w:val="2"/>
        </w:num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评标委员会</w:t>
      </w:r>
    </w:p>
    <w:p w14:paraId="4585A48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29.1 评标委员会的组成</w:t>
      </w:r>
    </w:p>
    <w:p w14:paraId="7D680A1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29.1.1 评标由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依法组建的评标委员会负责。</w:t>
      </w:r>
    </w:p>
    <w:p w14:paraId="76F9168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29.1.2 评标委员会负责人依法推荐或确定。</w:t>
      </w:r>
    </w:p>
    <w:p w14:paraId="31D9C8E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29.2 评标委员会成员名单在中标结果确定前应当保密。</w:t>
      </w:r>
    </w:p>
    <w:p w14:paraId="2D8CB55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29.3 评标委员会成员有下述情形的，应当主动提出回避：</w:t>
      </w:r>
    </w:p>
    <w:p w14:paraId="09C1343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37DDD93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3F48620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（3）与投标人有经济利益关系；</w:t>
      </w:r>
    </w:p>
    <w:p w14:paraId="553B7BB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6980686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（5）与投标人有其他利害关系。</w:t>
      </w:r>
    </w:p>
    <w:p w14:paraId="591B0A3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29.4 评标委员会应当向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提出书面评标报告，并抄送有关行政监督部门。评标报告应当如实记载以下内容：</w:t>
      </w:r>
    </w:p>
    <w:p w14:paraId="5E87EDD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（1）基本情况和数据表；</w:t>
      </w:r>
    </w:p>
    <w:p w14:paraId="30BAFE4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（2）评标委员会成员名单；</w:t>
      </w:r>
    </w:p>
    <w:p w14:paraId="12E76BD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（3）开标记录；</w:t>
      </w:r>
    </w:p>
    <w:p w14:paraId="127B2F1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（4）符合要求的投标人一览表；</w:t>
      </w:r>
    </w:p>
    <w:p w14:paraId="203A3C3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（5）无效情况说明；</w:t>
      </w:r>
    </w:p>
    <w:p w14:paraId="1280623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（6）评标标准、评标方法或者评标因素一览表；</w:t>
      </w:r>
    </w:p>
    <w:p w14:paraId="6C5167F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（7）经评审的价格或者评分比较一览表；</w:t>
      </w:r>
    </w:p>
    <w:p w14:paraId="722D803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（8）投标人串标、围标等违规行为的确认报告；</w:t>
      </w:r>
    </w:p>
    <w:p w14:paraId="76653FC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（9）经评审的投标人排序；</w:t>
      </w:r>
    </w:p>
    <w:p w14:paraId="7A2BF4C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（10）推荐的中标候选人名单；</w:t>
      </w:r>
    </w:p>
    <w:p w14:paraId="63D3F85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（11）澄清、说明、补正事项纪要。</w:t>
      </w:r>
    </w:p>
    <w:p w14:paraId="70D62F8F">
      <w:pPr>
        <w:tabs>
          <w:tab w:val="left" w:pos="720"/>
        </w:tabs>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29.5 </w:t>
      </w:r>
      <w:r>
        <w:rPr>
          <w:rFonts w:hint="eastAsia" w:ascii="宋体" w:hAnsi="宋体" w:cs="宋体"/>
          <w:b/>
          <w:bCs/>
          <w:color w:val="auto"/>
          <w:szCs w:val="21"/>
          <w:highlight w:val="none"/>
          <w:lang w:eastAsia="zh-CN"/>
        </w:rPr>
        <w:t>招标人</w:t>
      </w:r>
      <w:r>
        <w:rPr>
          <w:rFonts w:hint="eastAsia" w:ascii="宋体" w:hAnsi="宋体" w:cs="宋体"/>
          <w:b/>
          <w:bCs/>
          <w:color w:val="auto"/>
          <w:szCs w:val="21"/>
          <w:highlight w:val="none"/>
        </w:rPr>
        <w:t>授权评标委员会对投标人资格进行审查。</w:t>
      </w:r>
    </w:p>
    <w:p w14:paraId="60D0B8C5">
      <w:pPr>
        <w:tabs>
          <w:tab w:val="left" w:pos="72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 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14:paraId="4E226956">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31. 评标</w:t>
      </w:r>
    </w:p>
    <w:p w14:paraId="0978C8A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 评标准备工作</w:t>
      </w:r>
    </w:p>
    <w:p w14:paraId="66EC38B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31.1.1 阅读由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或招标代理单位编写的招标项目情况的说明材料；</w:t>
      </w:r>
    </w:p>
    <w:p w14:paraId="57809CD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31.1.2 阅读、研究招标文件和相关评标资料，获取评标所需要的重要信息和数据；</w:t>
      </w:r>
    </w:p>
    <w:p w14:paraId="10128F3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31.1.3 熟悉招标文件规定的评标方法及在评标过程中需要考虑的相关因素；</w:t>
      </w:r>
    </w:p>
    <w:p w14:paraId="7EE7388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31.1.4 核对评标工作用表。</w:t>
      </w:r>
    </w:p>
    <w:p w14:paraId="5D65F1A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31.2   评标办法</w:t>
      </w:r>
    </w:p>
    <w:p w14:paraId="48AB082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31.2.1 评标委员会按照第三章“评标办法”规定的方法、评审因素、标准和程序对投标文件进行评审。第三章“评标办法”没有规定的方法、评审因素和标准，不作为评标依据。</w:t>
      </w:r>
    </w:p>
    <w:p w14:paraId="02B4907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31.3 评标原则：遵循公平、公正、科学和择优的原则。</w:t>
      </w:r>
    </w:p>
    <w:p w14:paraId="43D7BAD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投标文件的澄清</w:t>
      </w:r>
    </w:p>
    <w:p w14:paraId="1307B61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 在评标过程中，评标委员会认为需要，在公共资源交易监督管理部门的监督下，可要求投标人对投标文件中的有关问题进行澄清或提供补充说明及有关资料，投标人应做出答复，答复将视为投标文件的组成部分，答复中不得变更价格、供货期、自报质量等实质性内容。本项目采用远程开标，具体操作方法详见服务指南&amp;gt;交易须知&amp;gt;开标大厅远程解密、质疑(异议)及回复以及评标过程中询标流程操作手册。</w:t>
      </w:r>
    </w:p>
    <w:p w14:paraId="64250B5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投标截止时间后，投标人对投标报价或其它实质性内容修正的函件和增加的任何优惠条件，一律不得作为评标、定标的依据。</w:t>
      </w:r>
    </w:p>
    <w:p w14:paraId="1B61AFC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.3 </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人不接受投标人主动提出的澄清。</w:t>
      </w:r>
    </w:p>
    <w:p w14:paraId="3F9432D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报价合理性的判断</w:t>
      </w:r>
    </w:p>
    <w:p w14:paraId="587EB480">
      <w:pPr>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222379E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评审意见分歧的处理办法</w:t>
      </w:r>
    </w:p>
    <w:p w14:paraId="57DB1DE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（1）评标委员会应当对投标人提供的报告、证明材料及详细说明认真研究。对存在意见分歧的，可采用投票方式表决决定（按多数评委意见为准）；</w:t>
      </w:r>
    </w:p>
    <w:p w14:paraId="452BA45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5E9E702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评标报告的签署</w:t>
      </w:r>
    </w:p>
    <w:p w14:paraId="777C824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514C0D5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评标过程的保密</w:t>
      </w:r>
    </w:p>
    <w:p w14:paraId="5666816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评标委员会成员和与评标活动有关的工作人员不得透露对投标文件的评审和比较、中标候选人的推荐情况以及与评标有关的其他情况。</w:t>
      </w:r>
    </w:p>
    <w:p w14:paraId="2B078C7D">
      <w:pPr>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31.</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 xml:space="preserve"> 中标结果公告</w:t>
      </w:r>
    </w:p>
    <w:p w14:paraId="54E7A69E">
      <w:pPr>
        <w:snapToGrid w:val="0"/>
        <w:spacing w:line="440" w:lineRule="exact"/>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lang w:eastAsia="zh-CN"/>
        </w:rPr>
        <w:t>招标人</w:t>
      </w:r>
      <w:r>
        <w:rPr>
          <w:rFonts w:hint="eastAsia" w:ascii="宋体" w:hAnsi="宋体" w:cs="宋体"/>
          <w:b/>
          <w:bCs/>
          <w:color w:val="auto"/>
          <w:szCs w:val="21"/>
          <w:highlight w:val="none"/>
        </w:rPr>
        <w:t>应将中标人的情况在滁州市公共资源交易中心等网站上予以公告，公告期为1个工作日（若有业绩要求，业绩同时公告）。</w:t>
      </w:r>
    </w:p>
    <w:p w14:paraId="617C8813">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32. 定标</w:t>
      </w:r>
    </w:p>
    <w:p w14:paraId="68915D9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 中标人的确定</w:t>
      </w:r>
    </w:p>
    <w:p w14:paraId="232312B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32.1.1 除投标人须知前附表规定评标委员会直接确定中标人外，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依据评标委员会推荐的中标候选人确定中标人，评标委员会推荐中标候选人的人数见投标人须知前附表。</w:t>
      </w:r>
    </w:p>
    <w:p w14:paraId="35F21F4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32.1.2 中标人确定后，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应将中标信息在滁州市公共资源交易中心等网站上公告。</w:t>
      </w:r>
    </w:p>
    <w:p w14:paraId="479A924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32.2 中标通知书</w:t>
      </w:r>
    </w:p>
    <w:p w14:paraId="4A9A13E6">
      <w:pPr>
        <w:pStyle w:val="1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32.2.1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w:t>
      </w:r>
      <w:r>
        <w:rPr>
          <w:rFonts w:hint="eastAsia" w:ascii="宋体" w:hAnsi="宋体" w:cs="宋体"/>
          <w:color w:val="auto"/>
          <w:szCs w:val="21"/>
          <w:highlight w:val="none"/>
          <w:lang w:eastAsia="zh-CN"/>
        </w:rPr>
        <w:t>招标代理机构</w:t>
      </w:r>
      <w:r>
        <w:rPr>
          <w:rFonts w:hint="eastAsia" w:ascii="宋体" w:hAnsi="宋体" w:cs="宋体"/>
          <w:color w:val="auto"/>
          <w:szCs w:val="21"/>
          <w:highlight w:val="none"/>
        </w:rPr>
        <w:t>应在中标人确定之日起2个工作日内，在滁州市公共资源交易中心等网站公告中标结果并同时向中标人发出中标通知书。</w:t>
      </w:r>
    </w:p>
    <w:p w14:paraId="1A96328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32.2.2 中标通知书须加盖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w:t>
      </w:r>
      <w:r>
        <w:rPr>
          <w:rFonts w:hint="eastAsia" w:ascii="宋体" w:hAnsi="宋体" w:cs="宋体"/>
          <w:color w:val="auto"/>
          <w:szCs w:val="21"/>
          <w:highlight w:val="none"/>
          <w:lang w:eastAsia="zh-CN"/>
        </w:rPr>
        <w:t>招标代理机构</w:t>
      </w:r>
      <w:r>
        <w:rPr>
          <w:rFonts w:hint="eastAsia" w:ascii="宋体" w:hAnsi="宋体" w:cs="宋体"/>
          <w:color w:val="auto"/>
          <w:szCs w:val="21"/>
          <w:highlight w:val="none"/>
        </w:rPr>
        <w:t>公章并经公共资源交易中心加盖见证章后，方可发出。</w:t>
      </w:r>
    </w:p>
    <w:p w14:paraId="22A47AF1">
      <w:pPr>
        <w:pStyle w:val="1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32.2.3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将在发出中标通知书的同时，向未通过资格审查的投标人告知其未通过的原因。</w:t>
      </w:r>
    </w:p>
    <w:p w14:paraId="1B1B688B">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33. 开评标异常情况处理</w:t>
      </w:r>
    </w:p>
    <w:p w14:paraId="0462F450">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33.1 重新招标 </w:t>
      </w:r>
    </w:p>
    <w:p w14:paraId="6A48FE59">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有下列情形之一的，</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将重新招标：</w:t>
      </w:r>
    </w:p>
    <w:p w14:paraId="62288204">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(1)投标截止时间止，投标人少于三个的； </w:t>
      </w:r>
    </w:p>
    <w:p w14:paraId="5185A7EA">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(2)经评标委员会评审后否决所有投标的；</w:t>
      </w:r>
    </w:p>
    <w:p w14:paraId="70DFB4E5">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(3)出现影响</w:t>
      </w:r>
      <w:r>
        <w:rPr>
          <w:rFonts w:hint="eastAsia" w:ascii="宋体" w:hAnsi="宋体" w:cs="宋体"/>
          <w:color w:val="auto"/>
          <w:kern w:val="10"/>
          <w:szCs w:val="21"/>
          <w:highlight w:val="none"/>
          <w:lang w:eastAsia="zh-CN"/>
        </w:rPr>
        <w:t>招标</w:t>
      </w:r>
      <w:r>
        <w:rPr>
          <w:rFonts w:hint="eastAsia" w:ascii="宋体" w:hAnsi="宋体" w:cs="宋体"/>
          <w:color w:val="auto"/>
          <w:kern w:val="10"/>
          <w:szCs w:val="21"/>
          <w:highlight w:val="none"/>
        </w:rPr>
        <w:t>公正的违法、违规行为的；</w:t>
      </w:r>
    </w:p>
    <w:p w14:paraId="17B3D86D">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(4)投标人的报价均脱离实际且无充分证据的；</w:t>
      </w:r>
    </w:p>
    <w:p w14:paraId="39989A57">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(5)因重大变故，</w:t>
      </w:r>
      <w:r>
        <w:rPr>
          <w:rFonts w:hint="eastAsia" w:ascii="宋体" w:hAnsi="宋体" w:cs="宋体"/>
          <w:color w:val="auto"/>
          <w:kern w:val="10"/>
          <w:szCs w:val="21"/>
          <w:highlight w:val="none"/>
          <w:lang w:eastAsia="zh-CN"/>
        </w:rPr>
        <w:t>招标</w:t>
      </w:r>
      <w:r>
        <w:rPr>
          <w:rFonts w:hint="eastAsia" w:ascii="宋体" w:hAnsi="宋体" w:cs="宋体"/>
          <w:color w:val="auto"/>
          <w:kern w:val="10"/>
          <w:szCs w:val="21"/>
          <w:highlight w:val="none"/>
        </w:rPr>
        <w:t>任务取消的。</w:t>
      </w:r>
    </w:p>
    <w:p w14:paraId="05AADAB5">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33.2 变更</w:t>
      </w:r>
      <w:r>
        <w:rPr>
          <w:rFonts w:hint="eastAsia" w:ascii="宋体" w:hAnsi="宋体" w:cs="宋体"/>
          <w:color w:val="auto"/>
          <w:kern w:val="10"/>
          <w:szCs w:val="21"/>
          <w:highlight w:val="none"/>
          <w:lang w:eastAsia="zh-CN"/>
        </w:rPr>
        <w:t>招标</w:t>
      </w:r>
      <w:r>
        <w:rPr>
          <w:rFonts w:hint="eastAsia" w:ascii="宋体" w:hAnsi="宋体" w:cs="宋体"/>
          <w:color w:val="auto"/>
          <w:kern w:val="10"/>
          <w:szCs w:val="21"/>
          <w:highlight w:val="none"/>
        </w:rPr>
        <w:t>方式</w:t>
      </w:r>
    </w:p>
    <w:p w14:paraId="4D69229C">
      <w:pPr>
        <w:spacing w:line="440" w:lineRule="exact"/>
        <w:ind w:firstLine="420" w:firstLineChars="200"/>
        <w:jc w:val="left"/>
        <w:rPr>
          <w:rFonts w:hint="eastAsia" w:ascii="宋体" w:hAnsi="宋体" w:cs="宋体"/>
          <w:color w:val="auto"/>
          <w:kern w:val="10"/>
          <w:szCs w:val="21"/>
          <w:highlight w:val="none"/>
        </w:rPr>
      </w:pPr>
      <w:bookmarkStart w:id="49" w:name="_Toc449028872"/>
      <w:r>
        <w:rPr>
          <w:rFonts w:hint="eastAsia" w:ascii="宋体" w:hAnsi="宋体" w:cs="宋体"/>
          <w:color w:val="auto"/>
          <w:kern w:val="10"/>
          <w:szCs w:val="21"/>
          <w:highlight w:val="none"/>
        </w:rPr>
        <w:t>按照滁州市公管局和财政局相关规定执行。</w:t>
      </w:r>
      <w:bookmarkEnd w:id="49"/>
      <w:bookmarkStart w:id="50" w:name="_Toc449028873"/>
    </w:p>
    <w:p w14:paraId="759DF653">
      <w:pPr>
        <w:spacing w:before="156" w:beforeLines="50" w:after="156" w:afterLines="50"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（六）合同的授予</w:t>
      </w:r>
      <w:bookmarkEnd w:id="50"/>
    </w:p>
    <w:p w14:paraId="0E7DED0E">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34. 合同授予标准</w:t>
      </w:r>
    </w:p>
    <w:p w14:paraId="3B44D61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34.1 本招标项目的合同将授予按本投标须知第32条规定所确定的中标人。</w:t>
      </w:r>
    </w:p>
    <w:p w14:paraId="10A9A9EB">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35. 合同协议书的签订</w:t>
      </w:r>
    </w:p>
    <w:p w14:paraId="0F86381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35.1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与中标人将于中标通知书发出之日起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日内，按照招标文件和中标人的投标文件订立书面合同。</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和中标人不得再行订立背离合同实质性内容的其他协议。</w:t>
      </w:r>
    </w:p>
    <w:p w14:paraId="2776435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35.2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如不按本投标须知第32条的规定与中标人订立合同，或者</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、中标人订立背离合同实质性内容的协议，给他人造成损失的，依法承担民事责任，同时依法承担相应法律责任。</w:t>
      </w:r>
    </w:p>
    <w:p w14:paraId="48BF80C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35.3 中标人如不按本投标须知第32条的规定与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订立合同，则</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将废除授标，给</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造成损失的，依法承担民事责任，同时依法承担相应法律责任。</w:t>
      </w:r>
    </w:p>
    <w:p w14:paraId="04CCF89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35.4 中标人应当按照合同约定履行义务，完成中标项目，不得将中标项目转让（转包）给他人。</w:t>
      </w:r>
    </w:p>
    <w:p w14:paraId="2C0ED9C3">
      <w:pPr>
        <w:spacing w:line="44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36.</w:t>
      </w:r>
      <w:bookmarkStart w:id="51"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w:t>
      </w:r>
      <w:bookmarkEnd w:id="51"/>
      <w:r>
        <w:rPr>
          <w:rFonts w:hint="eastAsia" w:ascii="宋体" w:hAnsi="宋体" w:cs="宋体"/>
          <w:b/>
          <w:color w:val="auto"/>
          <w:szCs w:val="21"/>
          <w:highlight w:val="none"/>
        </w:rPr>
        <w:t>担保</w:t>
      </w:r>
    </w:p>
    <w:p w14:paraId="727AA832">
      <w:pPr>
        <w:spacing w:line="440" w:lineRule="exact"/>
        <w:ind w:firstLine="420" w:firstLineChars="200"/>
        <w:jc w:val="left"/>
        <w:rPr>
          <w:rFonts w:hint="eastAsia" w:ascii="宋体" w:hAnsi="宋体" w:cs="宋体"/>
          <w:color w:val="auto"/>
          <w:szCs w:val="21"/>
          <w:highlight w:val="none"/>
        </w:rPr>
      </w:pPr>
      <w:bookmarkStart w:id="52" w:name="_Toc449028874"/>
      <w:r>
        <w:rPr>
          <w:rFonts w:hint="eastAsia" w:ascii="宋体" w:hAnsi="宋体" w:cs="宋体"/>
          <w:color w:val="auto"/>
          <w:szCs w:val="21"/>
          <w:highlight w:val="none"/>
        </w:rPr>
        <w:t>36.1 在签订合同前，中标人应按投标人须知前附表规定的担保形式、金额和招标文件第五章“合同条款及格式”规定的或者事先经过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书面认可的履约担保格式向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提交履约担保。</w:t>
      </w:r>
    </w:p>
    <w:p w14:paraId="7F03FC9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36.2 中标人不能按本章第36.1款要求提交履约担保的，视为放弃中标，给</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造成损失的，依法承担民事责任。</w:t>
      </w:r>
    </w:p>
    <w:p w14:paraId="67974DCA">
      <w:pPr>
        <w:spacing w:before="156" w:beforeLines="50" w:after="156" w:afterLines="50"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（七）纪律和监督</w:t>
      </w:r>
      <w:bookmarkEnd w:id="52"/>
    </w:p>
    <w:p w14:paraId="66EA78AA">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37. 对</w:t>
      </w:r>
      <w:r>
        <w:rPr>
          <w:rFonts w:hint="eastAsia" w:ascii="宋体" w:hAnsi="宋体" w:cs="宋体"/>
          <w:b/>
          <w:color w:val="auto"/>
          <w:szCs w:val="21"/>
          <w:highlight w:val="none"/>
          <w:lang w:eastAsia="zh-CN"/>
        </w:rPr>
        <w:t>招标人</w:t>
      </w:r>
      <w:r>
        <w:rPr>
          <w:rFonts w:hint="eastAsia" w:ascii="宋体" w:hAnsi="宋体" w:cs="宋体"/>
          <w:b/>
          <w:color w:val="auto"/>
          <w:szCs w:val="21"/>
          <w:highlight w:val="none"/>
        </w:rPr>
        <w:t xml:space="preserve">的纪律要求 </w:t>
      </w:r>
    </w:p>
    <w:p w14:paraId="4F778A38">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37.1 </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 xml:space="preserve">不得泄漏招标投标活动中应当保密的情况和资料，不得与投标人串通损害国家利益，社会公共利益或者他人合法权益。 </w:t>
      </w:r>
    </w:p>
    <w:p w14:paraId="547BC2A4">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38. 对投标人的纪律要求 </w:t>
      </w:r>
    </w:p>
    <w:p w14:paraId="7F198A2D">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38.1 投标人不得相互串通投标或者与</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串通投标，不得向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或者评标委员会成员行贿谋取中标，不得以他人名义投标或者以其他方式弄虚作假骗取中标；投标人不得以任何方式干扰、影响评标工作。</w:t>
      </w:r>
    </w:p>
    <w:p w14:paraId="6C71E5C4">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39. 对评标委员会成员的纪律要求 </w:t>
      </w:r>
    </w:p>
    <w:p w14:paraId="7105729B">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39.1 评标委员会成员不得收受他人的财物或者其他好处，不得向他人透漏对投标文件的评审和比较、中标候选人的推荐情况以及评标有关的其他情况。</w:t>
      </w:r>
    </w:p>
    <w:p w14:paraId="696F06AB">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39.2 在评标活动中，评标委员会成员不得擅离职守，影响评标程序正常进行，不得使用第三章“评标办法”没有规定的评审因素和标准进行评标。 </w:t>
      </w:r>
    </w:p>
    <w:p w14:paraId="1663B34E">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40. 对与评标活动有关的工作人员的纪律要求 </w:t>
      </w:r>
    </w:p>
    <w:p w14:paraId="0473D6E5">
      <w:pPr>
        <w:adjustRightInd w:val="0"/>
        <w:snapToGrid w:val="0"/>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40.1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3343D94">
      <w:pPr>
        <w:spacing w:before="156" w:beforeLines="50" w:after="156" w:afterLines="50" w:line="440" w:lineRule="exact"/>
        <w:jc w:val="center"/>
        <w:rPr>
          <w:rFonts w:hint="eastAsia" w:ascii="宋体" w:hAnsi="宋体" w:cs="宋体"/>
          <w:b/>
          <w:color w:val="auto"/>
          <w:sz w:val="28"/>
          <w:szCs w:val="28"/>
          <w:highlight w:val="none"/>
        </w:rPr>
      </w:pPr>
      <w:bookmarkStart w:id="53" w:name="_Toc449028875"/>
      <w:r>
        <w:rPr>
          <w:rFonts w:hint="eastAsia" w:ascii="宋体" w:hAnsi="宋体" w:cs="宋体"/>
          <w:b/>
          <w:color w:val="auto"/>
          <w:sz w:val="28"/>
          <w:szCs w:val="28"/>
          <w:highlight w:val="none"/>
        </w:rPr>
        <w:t>（八）质疑与投诉</w:t>
      </w:r>
      <w:bookmarkEnd w:id="53"/>
    </w:p>
    <w:p w14:paraId="2EF0D574">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41. 询问、质疑</w:t>
      </w:r>
    </w:p>
    <w:p w14:paraId="17ED1B4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41.1 投标人对招标活动事项有疑问的，可以向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提出询问，</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将在三个工作日内作出答复，但答复的内容不涉及商业秘密。</w:t>
      </w:r>
    </w:p>
    <w:p w14:paraId="23A5233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41.2 投标人认为</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过程和中标结果使自己的合法权益受到损害的，可以在知道或者应当知道其权益受到损害之日起七个工作日内，以书面形式将质疑文件原件送达</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w:t>
      </w:r>
    </w:p>
    <w:p w14:paraId="72E1B079">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41.3 中标公告发布后，参与投标的投标人对中标公告有异议的，应该在公告期限届满之日起七个工作日内向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书面提出质疑。但属于第41.1款问题，且未在规定时间提出质疑的，不予受理。</w:t>
      </w:r>
    </w:p>
    <w:p w14:paraId="3E03AB47">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41.4 参与投标的投标人对中标公告提出的书面质疑，负有举证的责任。投标人提出质疑应当提交质疑函和必要的证明材料。质疑函应当包括下列内容：</w:t>
      </w:r>
    </w:p>
    <w:p w14:paraId="016CD198">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（一）投标人的姓名或者名称、地址、邮编、联系人及联系电话；</w:t>
      </w:r>
    </w:p>
    <w:p w14:paraId="04B8B601">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（二）质疑项目的名称、编号；</w:t>
      </w:r>
    </w:p>
    <w:p w14:paraId="34C55089">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（三）具体、明确的质疑事项和与质疑事项相关的请求；</w:t>
      </w:r>
    </w:p>
    <w:p w14:paraId="586B1EC4">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（四）事实依据；</w:t>
      </w:r>
    </w:p>
    <w:p w14:paraId="725171B3">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（五）必要的法律依据；</w:t>
      </w:r>
    </w:p>
    <w:p w14:paraId="3980531F">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（六）提出质疑的日期。</w:t>
      </w:r>
    </w:p>
    <w:p w14:paraId="4C4B7908">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投标人为自然人的，应当由本人签字；投标人为法人或者其他组织的，应当由法定代表人、主要负责人，或者其授权代表签字或者盖章，并加盖公章。质疑函递交至</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w:t>
      </w:r>
      <w:r>
        <w:rPr>
          <w:rFonts w:hint="eastAsia" w:ascii="宋体" w:hAnsi="宋体" w:cs="宋体"/>
          <w:color w:val="auto"/>
          <w:kern w:val="10"/>
          <w:szCs w:val="21"/>
          <w:highlight w:val="none"/>
          <w:lang w:eastAsia="zh-CN"/>
        </w:rPr>
        <w:t>招标代理机构</w:t>
      </w:r>
      <w:r>
        <w:rPr>
          <w:rFonts w:hint="eastAsia" w:ascii="宋体" w:hAnsi="宋体" w:cs="宋体"/>
          <w:color w:val="auto"/>
          <w:kern w:val="10"/>
          <w:szCs w:val="21"/>
          <w:highlight w:val="none"/>
        </w:rPr>
        <w:t>。一份质疑函只能针对一个项目提出质疑，且针对同一招标采购程序环节的质疑应当一次性提出。</w:t>
      </w:r>
    </w:p>
    <w:p w14:paraId="27F105C6">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41.5</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w:t>
      </w:r>
      <w:r>
        <w:rPr>
          <w:rFonts w:hint="eastAsia" w:ascii="宋体" w:hAnsi="宋体" w:cs="宋体"/>
          <w:color w:val="auto"/>
          <w:kern w:val="10"/>
          <w:szCs w:val="21"/>
          <w:highlight w:val="none"/>
          <w:lang w:eastAsia="zh-CN"/>
        </w:rPr>
        <w:t>招标代理机构</w:t>
      </w:r>
      <w:r>
        <w:rPr>
          <w:rFonts w:hint="eastAsia" w:ascii="宋体" w:hAnsi="宋体" w:cs="宋体"/>
          <w:color w:val="auto"/>
          <w:kern w:val="10"/>
          <w:szCs w:val="21"/>
          <w:highlight w:val="none"/>
        </w:rPr>
        <w:t>在收到投标人的质疑函后，将审查质疑函的格式、内容以及所附的证明文件是否符合要求。如不符合，说明原因退回投标人；如符合要求，则接受该质疑函。</w:t>
      </w:r>
    </w:p>
    <w:p w14:paraId="1811ABB1">
      <w:pPr>
        <w:spacing w:line="440" w:lineRule="exact"/>
        <w:ind w:firstLine="420" w:firstLineChars="200"/>
        <w:jc w:val="left"/>
        <w:rPr>
          <w:rFonts w:hint="eastAsia" w:ascii="宋体" w:hAnsi="宋体" w:cs="宋体"/>
          <w:color w:val="auto"/>
          <w:kern w:val="10"/>
          <w:szCs w:val="21"/>
          <w:highlight w:val="none"/>
        </w:rPr>
      </w:pPr>
      <w:r>
        <w:rPr>
          <w:rFonts w:hint="eastAsia" w:ascii="宋体" w:hAnsi="宋体" w:cs="宋体"/>
          <w:color w:val="auto"/>
          <w:kern w:val="10"/>
          <w:szCs w:val="21"/>
          <w:highlight w:val="none"/>
        </w:rPr>
        <w:t>41.6 处理质疑的时间，从实际接受投标人质疑函、出具受理证明的时间开始计算。</w:t>
      </w:r>
    </w:p>
    <w:p w14:paraId="052820C6">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42. 投诉</w:t>
      </w:r>
    </w:p>
    <w:p w14:paraId="759353EF">
      <w:pPr>
        <w:spacing w:line="440" w:lineRule="exact"/>
        <w:ind w:firstLine="420" w:firstLineChars="200"/>
        <w:jc w:val="left"/>
        <w:rPr>
          <w:rFonts w:hint="eastAsia" w:ascii="宋体" w:hAnsi="宋体" w:cs="宋体"/>
          <w:color w:val="auto"/>
          <w:kern w:val="10"/>
          <w:szCs w:val="21"/>
          <w:highlight w:val="none"/>
        </w:rPr>
        <w:sectPr>
          <w:footnotePr>
            <w:pos w:val="beneathText"/>
          </w:footnotePr>
          <w:pgSz w:w="11906" w:h="16838"/>
          <w:pgMar w:top="1440" w:right="1466" w:bottom="1440" w:left="1800" w:header="851" w:footer="992" w:gutter="0"/>
          <w:pgNumType w:fmt="decimal"/>
          <w:cols w:space="720" w:num="1"/>
          <w:docGrid w:type="lines" w:linePitch="312" w:charSpace="0"/>
        </w:sectPr>
      </w:pPr>
      <w:r>
        <w:rPr>
          <w:rFonts w:hint="eastAsia" w:ascii="宋体" w:hAnsi="宋体" w:cs="宋体"/>
          <w:color w:val="auto"/>
          <w:kern w:val="10"/>
          <w:szCs w:val="21"/>
          <w:highlight w:val="none"/>
        </w:rPr>
        <w:t>42.1 投标人对</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的答复不满意，或者</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未在规定的时间内答复的，可以在答复期满后十五个工作日内按有关规定，向监督管理部门进行投诉。</w:t>
      </w:r>
      <w:bookmarkStart w:id="54" w:name="_Toc58430316"/>
      <w:bookmarkStart w:id="55" w:name="_Toc4767"/>
      <w:bookmarkStart w:id="56" w:name="_Toc21405"/>
    </w:p>
    <w:p w14:paraId="5473B0FF">
      <w:pPr>
        <w:pStyle w:val="5"/>
        <w:pageBreakBefore w:val="0"/>
        <w:numPr>
          <w:ilvl w:val="0"/>
          <w:numId w:val="0"/>
        </w:numPr>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宋体"/>
          <w:b/>
          <w:color w:val="auto"/>
          <w:sz w:val="28"/>
          <w:szCs w:val="28"/>
          <w:highlight w:val="none"/>
          <w:lang w:val="en-US" w:eastAsia="zh-CN"/>
        </w:rPr>
      </w:pPr>
      <w:bookmarkStart w:id="57" w:name="_Toc30594"/>
      <w:r>
        <w:rPr>
          <w:rFonts w:hint="eastAsia" w:ascii="宋体"/>
          <w:b/>
          <w:color w:val="auto"/>
          <w:sz w:val="28"/>
          <w:szCs w:val="28"/>
          <w:highlight w:val="none"/>
          <w:lang w:val="en-US" w:eastAsia="zh-CN"/>
        </w:rPr>
        <w:t>第三章 评标办法（综合评分法）</w:t>
      </w:r>
      <w:bookmarkEnd w:id="54"/>
      <w:bookmarkEnd w:id="55"/>
      <w:bookmarkEnd w:id="56"/>
      <w:bookmarkEnd w:id="57"/>
    </w:p>
    <w:p w14:paraId="19D287D5">
      <w:pPr>
        <w:widowControl/>
        <w:jc w:val="center"/>
        <w:rPr>
          <w:rFonts w:hint="eastAsia" w:ascii="宋体"/>
          <w:b/>
          <w:color w:val="auto"/>
          <w:sz w:val="24"/>
          <w:highlight w:val="none"/>
        </w:rPr>
      </w:pPr>
      <w:bookmarkStart w:id="58" w:name="_Toc10026"/>
      <w:bookmarkStart w:id="59" w:name="_Toc13546"/>
      <w:bookmarkStart w:id="60" w:name="_Toc58430317"/>
      <w:bookmarkStart w:id="61" w:name="_Toc8110"/>
      <w:bookmarkStart w:id="62" w:name="_Toc449028877"/>
      <w:bookmarkStart w:id="63" w:name="_Toc362983801"/>
      <w:bookmarkStart w:id="64" w:name="_Toc267320058"/>
      <w:bookmarkStart w:id="65" w:name="_Toc363135205"/>
      <w:r>
        <w:rPr>
          <w:rFonts w:hint="eastAsia" w:ascii="宋体"/>
          <w:b/>
          <w:color w:val="auto"/>
          <w:sz w:val="24"/>
          <w:highlight w:val="none"/>
        </w:rPr>
        <w:t>一、总则</w:t>
      </w:r>
      <w:bookmarkEnd w:id="58"/>
      <w:bookmarkEnd w:id="59"/>
      <w:bookmarkEnd w:id="60"/>
      <w:bookmarkEnd w:id="61"/>
      <w:bookmarkEnd w:id="62"/>
      <w:bookmarkEnd w:id="63"/>
    </w:p>
    <w:p w14:paraId="38376CB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b/>
          <w:bCs/>
          <w:color w:val="auto"/>
          <w:szCs w:val="21"/>
          <w:highlight w:val="none"/>
        </w:rPr>
      </w:pPr>
      <w:bookmarkStart w:id="66" w:name="_Toc11215"/>
      <w:bookmarkStart w:id="67" w:name="_Toc362983802"/>
      <w:bookmarkStart w:id="68" w:name="_Toc58430318"/>
      <w:bookmarkStart w:id="69" w:name="_Toc449028878"/>
      <w:bookmarkStart w:id="70" w:name="_Toc6075"/>
      <w:bookmarkStart w:id="71" w:name="_Toc32080"/>
      <w:r>
        <w:rPr>
          <w:rFonts w:hint="eastAsia" w:ascii="宋体"/>
          <w:b/>
          <w:bCs/>
          <w:color w:val="auto"/>
          <w:szCs w:val="21"/>
          <w:highlight w:val="none"/>
        </w:rPr>
        <w:t>1. 本次评标采用综合评分法</w:t>
      </w:r>
    </w:p>
    <w:p w14:paraId="2A939C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eastAsia="宋体"/>
          <w:color w:val="auto"/>
          <w:szCs w:val="21"/>
          <w:highlight w:val="none"/>
          <w:lang w:eastAsia="zh-CN"/>
        </w:rPr>
      </w:pPr>
      <w:r>
        <w:rPr>
          <w:rFonts w:hint="eastAsia" w:ascii="宋体"/>
          <w:color w:val="auto"/>
          <w:szCs w:val="21"/>
          <w:highlight w:val="none"/>
        </w:rPr>
        <w:t>1.1 综合评分法是指投标文件满足招标文件全部实质性要求且按照评审因素的量化指标评审总得分从高到低的供应商为中标候选人的评标方法。</w:t>
      </w:r>
    </w:p>
    <w:p w14:paraId="47CC38F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eastAsia="宋体"/>
          <w:color w:val="auto"/>
          <w:szCs w:val="21"/>
          <w:highlight w:val="none"/>
          <w:lang w:eastAsia="zh-CN"/>
        </w:rPr>
      </w:pPr>
      <w:r>
        <w:rPr>
          <w:rFonts w:hint="eastAsia" w:ascii="宋体"/>
          <w:color w:val="auto"/>
          <w:szCs w:val="21"/>
          <w:highlight w:val="none"/>
        </w:rPr>
        <w:t>1.2 综合评分法一般适用于较为复杂、评价指标难以量化且价格为非主要因素的非标准定制商品和非通用服务项目的项目评审。</w:t>
      </w:r>
    </w:p>
    <w:p w14:paraId="317804B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b/>
          <w:bCs/>
          <w:color w:val="auto"/>
          <w:szCs w:val="21"/>
          <w:highlight w:val="none"/>
        </w:rPr>
      </w:pPr>
      <w:bookmarkStart w:id="72" w:name="_Toc1177"/>
      <w:bookmarkStart w:id="73" w:name="_Toc20024"/>
      <w:r>
        <w:rPr>
          <w:rFonts w:hint="eastAsia" w:ascii="宋体"/>
          <w:b/>
          <w:bCs/>
          <w:color w:val="auto"/>
          <w:szCs w:val="21"/>
          <w:highlight w:val="none"/>
        </w:rPr>
        <w:t>2． 评标程序</w:t>
      </w:r>
      <w:bookmarkEnd w:id="72"/>
      <w:bookmarkEnd w:id="73"/>
    </w:p>
    <w:p w14:paraId="7A261DB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2.1 投标文件的初审</w:t>
      </w:r>
    </w:p>
    <w:p w14:paraId="53F39FF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eastAsia="宋体"/>
          <w:color w:val="auto"/>
          <w:szCs w:val="21"/>
          <w:highlight w:val="none"/>
          <w:lang w:eastAsia="zh-CN"/>
        </w:rPr>
      </w:pPr>
      <w:r>
        <w:rPr>
          <w:rFonts w:hint="eastAsia" w:ascii="宋体"/>
          <w:color w:val="auto"/>
          <w:szCs w:val="21"/>
          <w:highlight w:val="none"/>
        </w:rPr>
        <w:t>2.1.1 资格性检查。依据法律法规和招标文件的规定，对投标文件中的资格证明等进行审查，以确定投标人是否具备投标资格。</w:t>
      </w:r>
    </w:p>
    <w:p w14:paraId="716FFC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2.1.2 符合性检查。依据招标文件的规定，从投标文件的有效性、完整性和对招标文件的响应程度进行审查，以确定投标人是否对招标文件的实质性要求作出响应。</w:t>
      </w:r>
    </w:p>
    <w:p w14:paraId="24D32E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2.2 投标文件的澄清</w:t>
      </w:r>
    </w:p>
    <w:p w14:paraId="78D0D69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2.2.1 本项目采用远程开标，具体操作方法详见服务指南&gt;交易须知&gt;开标大厅远程解密、质疑(异议)及回复以及评标过程中询标流程操作手册。</w:t>
      </w:r>
    </w:p>
    <w:p w14:paraId="058E0E7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2.3 比较与评价</w:t>
      </w:r>
    </w:p>
    <w:p w14:paraId="34AD005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eastAsia="宋体"/>
          <w:color w:val="auto"/>
          <w:szCs w:val="21"/>
          <w:highlight w:val="none"/>
          <w:lang w:eastAsia="zh-CN"/>
        </w:rPr>
      </w:pPr>
      <w:r>
        <w:rPr>
          <w:rFonts w:hint="eastAsia" w:ascii="宋体"/>
          <w:color w:val="auto"/>
          <w:szCs w:val="21"/>
          <w:highlight w:val="none"/>
        </w:rPr>
        <w:t>2.3.1 按招标文件中规定的评标方法和标准，对资格性检查和符合性检查合格的投标文件进行资信、商务和技术评估，综合比较与评价。</w:t>
      </w:r>
    </w:p>
    <w:p w14:paraId="02452D4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2.4 推荐中标候选人名单</w:t>
      </w:r>
    </w:p>
    <w:p w14:paraId="43C0AE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2.4.1 中标候选人数量应当根据</w:t>
      </w:r>
      <w:r>
        <w:rPr>
          <w:rFonts w:hint="eastAsia" w:ascii="宋体"/>
          <w:color w:val="auto"/>
          <w:szCs w:val="21"/>
          <w:highlight w:val="none"/>
          <w:lang w:val="en-US" w:eastAsia="zh-CN"/>
        </w:rPr>
        <w:t>项目</w:t>
      </w:r>
      <w:r>
        <w:rPr>
          <w:rFonts w:hint="eastAsia" w:ascii="宋体"/>
          <w:color w:val="auto"/>
          <w:szCs w:val="21"/>
          <w:highlight w:val="none"/>
        </w:rPr>
        <w:t>需要确定，但必须按顺序排列中标候选人。</w:t>
      </w:r>
    </w:p>
    <w:p w14:paraId="1C1B4370">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2.5 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4D503926">
      <w:pPr>
        <w:rPr>
          <w:rFonts w:hint="eastAsia" w:ascii="宋体"/>
          <w:color w:val="auto"/>
          <w:szCs w:val="21"/>
          <w:highlight w:val="none"/>
        </w:rPr>
      </w:pPr>
      <w:r>
        <w:rPr>
          <w:rFonts w:hint="eastAsia" w:ascii="宋体"/>
          <w:color w:val="auto"/>
          <w:szCs w:val="21"/>
          <w:highlight w:val="none"/>
        </w:rPr>
        <w:br w:type="page"/>
      </w:r>
    </w:p>
    <w:p w14:paraId="67941DC4">
      <w:pPr>
        <w:spacing w:before="156" w:beforeLines="50" w:after="156" w:afterLines="50" w:line="440" w:lineRule="exact"/>
        <w:jc w:val="center"/>
        <w:rPr>
          <w:rFonts w:hint="eastAsia" w:ascii="宋体"/>
          <w:b/>
          <w:color w:val="auto"/>
          <w:sz w:val="24"/>
          <w:highlight w:val="none"/>
        </w:rPr>
      </w:pPr>
      <w:r>
        <w:rPr>
          <w:rFonts w:hint="eastAsia" w:ascii="宋体"/>
          <w:b/>
          <w:color w:val="auto"/>
          <w:sz w:val="24"/>
          <w:highlight w:val="none"/>
        </w:rPr>
        <w:t>二、投标文件初审</w:t>
      </w:r>
      <w:bookmarkEnd w:id="66"/>
      <w:bookmarkEnd w:id="67"/>
      <w:bookmarkEnd w:id="68"/>
      <w:bookmarkEnd w:id="69"/>
      <w:bookmarkEnd w:id="70"/>
      <w:bookmarkEnd w:id="71"/>
    </w:p>
    <w:p w14:paraId="24470A1F">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 资格性审查:</w:t>
      </w:r>
    </w:p>
    <w:p w14:paraId="66DCF641">
      <w:pPr>
        <w:spacing w:line="44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3.1 评审细则</w:t>
      </w:r>
    </w:p>
    <w:tbl>
      <w:tblPr>
        <w:tblStyle w:val="23"/>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35"/>
        <w:gridCol w:w="3834"/>
        <w:gridCol w:w="4116"/>
      </w:tblGrid>
      <w:tr w14:paraId="08B6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14:paraId="375F922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969" w:type="dxa"/>
            <w:gridSpan w:val="2"/>
            <w:noWrap w:val="0"/>
            <w:vAlign w:val="center"/>
          </w:tcPr>
          <w:p w14:paraId="18429126">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116" w:type="dxa"/>
            <w:noWrap w:val="0"/>
            <w:vAlign w:val="center"/>
          </w:tcPr>
          <w:p w14:paraId="43C10287">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7BED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14:paraId="165A499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5" w:type="dxa"/>
            <w:noWrap w:val="0"/>
            <w:vAlign w:val="center"/>
          </w:tcPr>
          <w:p w14:paraId="6ABBD968">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重要要求</w:t>
            </w:r>
          </w:p>
        </w:tc>
        <w:tc>
          <w:tcPr>
            <w:tcW w:w="3834" w:type="dxa"/>
            <w:noWrap w:val="0"/>
            <w:vAlign w:val="center"/>
          </w:tcPr>
          <w:p w14:paraId="430A3C0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1、法定代表人身份证明和本人身份证(或法定代表人授权委托书和委托代理人有效身份)。</w:t>
            </w:r>
          </w:p>
        </w:tc>
        <w:tc>
          <w:tcPr>
            <w:tcW w:w="4116" w:type="dxa"/>
            <w:noWrap w:val="0"/>
            <w:vAlign w:val="center"/>
          </w:tcPr>
          <w:p w14:paraId="5FF1D0E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核验电子标书</w:t>
            </w:r>
          </w:p>
        </w:tc>
      </w:tr>
      <w:tr w14:paraId="6772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noWrap w:val="0"/>
            <w:vAlign w:val="center"/>
          </w:tcPr>
          <w:p w14:paraId="74CB8CE3">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35" w:type="dxa"/>
            <w:vMerge w:val="restart"/>
            <w:noWrap w:val="0"/>
            <w:vAlign w:val="center"/>
          </w:tcPr>
          <w:p w14:paraId="089D27FD">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投标人应符合的资格条件 </w:t>
            </w:r>
          </w:p>
        </w:tc>
        <w:tc>
          <w:tcPr>
            <w:tcW w:w="3834" w:type="dxa"/>
            <w:noWrap w:val="0"/>
            <w:vAlign w:val="center"/>
          </w:tcPr>
          <w:p w14:paraId="6D91666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、营业执照</w:t>
            </w:r>
          </w:p>
        </w:tc>
        <w:tc>
          <w:tcPr>
            <w:tcW w:w="4116" w:type="dxa"/>
            <w:noWrap w:val="0"/>
            <w:vAlign w:val="center"/>
          </w:tcPr>
          <w:p w14:paraId="3570BAF6">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核验电子标书</w:t>
            </w:r>
          </w:p>
        </w:tc>
      </w:tr>
      <w:tr w14:paraId="43DF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noWrap w:val="0"/>
            <w:vAlign w:val="center"/>
          </w:tcPr>
          <w:p w14:paraId="1104048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p>
        </w:tc>
        <w:tc>
          <w:tcPr>
            <w:tcW w:w="1135" w:type="dxa"/>
            <w:vMerge w:val="continue"/>
            <w:noWrap w:val="0"/>
            <w:vAlign w:val="center"/>
          </w:tcPr>
          <w:p w14:paraId="7EF15B6D">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lang w:val="zh-CN"/>
              </w:rPr>
            </w:pPr>
          </w:p>
        </w:tc>
        <w:tc>
          <w:tcPr>
            <w:tcW w:w="3834" w:type="dxa"/>
            <w:noWrap w:val="0"/>
            <w:vAlign w:val="center"/>
          </w:tcPr>
          <w:p w14:paraId="40E9E60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、诚信投标承诺书（格式附后）</w:t>
            </w:r>
          </w:p>
        </w:tc>
        <w:tc>
          <w:tcPr>
            <w:tcW w:w="4116" w:type="dxa"/>
            <w:noWrap w:val="0"/>
            <w:vAlign w:val="center"/>
          </w:tcPr>
          <w:p w14:paraId="2452D506">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核验电子标书</w:t>
            </w:r>
          </w:p>
        </w:tc>
      </w:tr>
    </w:tbl>
    <w:p w14:paraId="20DD7867">
      <w:pPr>
        <w:spacing w:line="4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3.2 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2D4A7BB5">
      <w:pPr>
        <w:spacing w:line="4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3.3 如评标专家在检验电子标书过程中，如果由于投标人自身原因导致评标专家无法查看并检验电子标书中以上相关资料的，否决其投标。即使投标单位将原件携带至现场的，同样按无效投标处理。</w:t>
      </w:r>
    </w:p>
    <w:p w14:paraId="04148AD0">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4. 符合性审查</w:t>
      </w:r>
    </w:p>
    <w:p w14:paraId="68CD13C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 评审细则</w:t>
      </w:r>
    </w:p>
    <w:tbl>
      <w:tblPr>
        <w:tblStyle w:val="23"/>
        <w:tblW w:w="967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18"/>
        <w:gridCol w:w="2931"/>
        <w:gridCol w:w="4691"/>
      </w:tblGrid>
      <w:tr w14:paraId="374E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14:paraId="72A2E94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249" w:type="dxa"/>
            <w:gridSpan w:val="2"/>
            <w:noWrap w:val="0"/>
            <w:vAlign w:val="center"/>
          </w:tcPr>
          <w:p w14:paraId="60A2CA7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691" w:type="dxa"/>
            <w:noWrap w:val="0"/>
            <w:vAlign w:val="center"/>
          </w:tcPr>
          <w:p w14:paraId="025087D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0845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5" w:type="dxa"/>
            <w:vMerge w:val="restart"/>
            <w:noWrap w:val="0"/>
            <w:vAlign w:val="center"/>
          </w:tcPr>
          <w:p w14:paraId="5CF8B66E">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18" w:type="dxa"/>
            <w:vMerge w:val="restart"/>
            <w:noWrap w:val="0"/>
            <w:vAlign w:val="center"/>
          </w:tcPr>
          <w:p w14:paraId="0F4BFE87">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13F857A4">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691" w:type="dxa"/>
            <w:noWrap w:val="0"/>
            <w:vAlign w:val="center"/>
          </w:tcPr>
          <w:p w14:paraId="0F04A09A">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7591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5" w:type="dxa"/>
            <w:vMerge w:val="continue"/>
            <w:noWrap w:val="0"/>
            <w:vAlign w:val="center"/>
          </w:tcPr>
          <w:p w14:paraId="18448E2C">
            <w:pPr>
              <w:jc w:val="center"/>
              <w:rPr>
                <w:rFonts w:hint="eastAsia" w:ascii="宋体" w:hAnsi="宋体" w:cs="宋体"/>
                <w:color w:val="auto"/>
                <w:szCs w:val="21"/>
                <w:highlight w:val="none"/>
              </w:rPr>
            </w:pPr>
          </w:p>
        </w:tc>
        <w:tc>
          <w:tcPr>
            <w:tcW w:w="1318" w:type="dxa"/>
            <w:vMerge w:val="continue"/>
            <w:noWrap w:val="0"/>
            <w:vAlign w:val="center"/>
          </w:tcPr>
          <w:p w14:paraId="2E33537A">
            <w:pPr>
              <w:jc w:val="left"/>
              <w:rPr>
                <w:rFonts w:hint="eastAsia" w:ascii="宋体" w:hAnsi="宋体" w:cs="宋体"/>
                <w:color w:val="auto"/>
                <w:szCs w:val="21"/>
                <w:highlight w:val="none"/>
              </w:rPr>
            </w:pPr>
          </w:p>
        </w:tc>
        <w:tc>
          <w:tcPr>
            <w:tcW w:w="2931" w:type="dxa"/>
            <w:noWrap w:val="0"/>
            <w:vAlign w:val="center"/>
          </w:tcPr>
          <w:p w14:paraId="228CE984">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691" w:type="dxa"/>
            <w:noWrap w:val="0"/>
            <w:vAlign w:val="center"/>
          </w:tcPr>
          <w:p w14:paraId="073279FD">
            <w:pPr>
              <w:jc w:val="lef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38FD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5" w:type="dxa"/>
            <w:vMerge w:val="continue"/>
            <w:noWrap w:val="0"/>
            <w:vAlign w:val="center"/>
          </w:tcPr>
          <w:p w14:paraId="1C5CA9A1">
            <w:pPr>
              <w:jc w:val="center"/>
              <w:rPr>
                <w:rFonts w:hint="eastAsia" w:ascii="宋体" w:hAnsi="宋体" w:cs="宋体"/>
                <w:color w:val="auto"/>
                <w:szCs w:val="21"/>
                <w:highlight w:val="none"/>
              </w:rPr>
            </w:pPr>
          </w:p>
        </w:tc>
        <w:tc>
          <w:tcPr>
            <w:tcW w:w="1318" w:type="dxa"/>
            <w:vMerge w:val="continue"/>
            <w:noWrap w:val="0"/>
            <w:vAlign w:val="center"/>
          </w:tcPr>
          <w:p w14:paraId="4729152C">
            <w:pPr>
              <w:jc w:val="left"/>
              <w:rPr>
                <w:rFonts w:hint="eastAsia" w:ascii="宋体" w:hAnsi="宋体" w:cs="宋体"/>
                <w:color w:val="auto"/>
                <w:szCs w:val="21"/>
                <w:highlight w:val="none"/>
              </w:rPr>
            </w:pPr>
          </w:p>
        </w:tc>
        <w:tc>
          <w:tcPr>
            <w:tcW w:w="2931" w:type="dxa"/>
            <w:noWrap w:val="0"/>
            <w:vAlign w:val="center"/>
          </w:tcPr>
          <w:p w14:paraId="2579E631">
            <w:pPr>
              <w:jc w:val="lef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691" w:type="dxa"/>
            <w:noWrap w:val="0"/>
            <w:vAlign w:val="center"/>
          </w:tcPr>
          <w:p w14:paraId="643A6AD6">
            <w:pPr>
              <w:jc w:val="lef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0386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5" w:type="dxa"/>
            <w:vMerge w:val="continue"/>
            <w:noWrap w:val="0"/>
            <w:vAlign w:val="center"/>
          </w:tcPr>
          <w:p w14:paraId="09048EF3">
            <w:pPr>
              <w:jc w:val="center"/>
              <w:rPr>
                <w:rFonts w:hint="eastAsia" w:ascii="宋体" w:hAnsi="宋体" w:cs="宋体"/>
                <w:color w:val="auto"/>
                <w:szCs w:val="21"/>
                <w:highlight w:val="none"/>
              </w:rPr>
            </w:pPr>
          </w:p>
        </w:tc>
        <w:tc>
          <w:tcPr>
            <w:tcW w:w="1318" w:type="dxa"/>
            <w:vMerge w:val="continue"/>
            <w:noWrap w:val="0"/>
            <w:vAlign w:val="center"/>
          </w:tcPr>
          <w:p w14:paraId="4237E607">
            <w:pPr>
              <w:jc w:val="left"/>
              <w:rPr>
                <w:rFonts w:hint="eastAsia" w:ascii="宋体" w:hAnsi="宋体" w:cs="宋体"/>
                <w:color w:val="auto"/>
                <w:szCs w:val="21"/>
                <w:highlight w:val="none"/>
              </w:rPr>
            </w:pPr>
          </w:p>
        </w:tc>
        <w:tc>
          <w:tcPr>
            <w:tcW w:w="2931" w:type="dxa"/>
            <w:noWrap w:val="0"/>
            <w:vAlign w:val="center"/>
          </w:tcPr>
          <w:p w14:paraId="539E1D39">
            <w:pPr>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投标文件的有效期</w:t>
            </w:r>
          </w:p>
        </w:tc>
        <w:tc>
          <w:tcPr>
            <w:tcW w:w="4691" w:type="dxa"/>
            <w:noWrap w:val="0"/>
            <w:vAlign w:val="center"/>
          </w:tcPr>
          <w:p w14:paraId="7E22E9C6">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6E44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5" w:type="dxa"/>
            <w:vMerge w:val="restart"/>
            <w:noWrap w:val="0"/>
            <w:vAlign w:val="center"/>
          </w:tcPr>
          <w:p w14:paraId="6A387DB2">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18" w:type="dxa"/>
            <w:vMerge w:val="restart"/>
            <w:noWrap w:val="0"/>
            <w:vAlign w:val="center"/>
          </w:tcPr>
          <w:p w14:paraId="180AE889">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65BC2843">
            <w:pPr>
              <w:jc w:val="lef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691" w:type="dxa"/>
            <w:noWrap w:val="0"/>
            <w:vAlign w:val="center"/>
          </w:tcPr>
          <w:p w14:paraId="45545245">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网上递交的电子投标文件：一份； </w:t>
            </w:r>
          </w:p>
        </w:tc>
      </w:tr>
      <w:tr w14:paraId="378D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5" w:type="dxa"/>
            <w:vMerge w:val="continue"/>
            <w:noWrap w:val="0"/>
            <w:vAlign w:val="center"/>
          </w:tcPr>
          <w:p w14:paraId="530156D2">
            <w:pPr>
              <w:jc w:val="center"/>
              <w:rPr>
                <w:rFonts w:hint="eastAsia" w:ascii="宋体" w:hAnsi="宋体" w:cs="宋体"/>
                <w:color w:val="auto"/>
                <w:szCs w:val="21"/>
                <w:highlight w:val="none"/>
              </w:rPr>
            </w:pPr>
          </w:p>
        </w:tc>
        <w:tc>
          <w:tcPr>
            <w:tcW w:w="1318" w:type="dxa"/>
            <w:vMerge w:val="continue"/>
            <w:noWrap w:val="0"/>
            <w:vAlign w:val="center"/>
          </w:tcPr>
          <w:p w14:paraId="6DD90C61">
            <w:pPr>
              <w:jc w:val="left"/>
              <w:rPr>
                <w:rFonts w:hint="eastAsia" w:ascii="宋体" w:hAnsi="宋体" w:cs="宋体"/>
                <w:color w:val="auto"/>
                <w:szCs w:val="21"/>
                <w:highlight w:val="none"/>
              </w:rPr>
            </w:pPr>
          </w:p>
        </w:tc>
        <w:tc>
          <w:tcPr>
            <w:tcW w:w="2931" w:type="dxa"/>
            <w:noWrap w:val="0"/>
            <w:vAlign w:val="center"/>
          </w:tcPr>
          <w:p w14:paraId="338013F0">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691" w:type="dxa"/>
            <w:noWrap w:val="0"/>
            <w:vAlign w:val="center"/>
          </w:tcPr>
          <w:p w14:paraId="5623F3F1">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136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5" w:type="dxa"/>
            <w:vMerge w:val="restart"/>
            <w:noWrap w:val="0"/>
            <w:vAlign w:val="center"/>
          </w:tcPr>
          <w:p w14:paraId="29C9D6E6">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18" w:type="dxa"/>
            <w:vMerge w:val="restart"/>
            <w:noWrap w:val="0"/>
            <w:vAlign w:val="center"/>
          </w:tcPr>
          <w:p w14:paraId="13530CC1">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6699D5FD">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4691" w:type="dxa"/>
            <w:noWrap w:val="0"/>
            <w:vAlign w:val="center"/>
          </w:tcPr>
          <w:p w14:paraId="11DD4B27">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响应或优于</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文件要求。</w:t>
            </w:r>
          </w:p>
        </w:tc>
      </w:tr>
      <w:tr w14:paraId="39EE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5" w:type="dxa"/>
            <w:vMerge w:val="continue"/>
            <w:noWrap w:val="0"/>
            <w:vAlign w:val="center"/>
          </w:tcPr>
          <w:p w14:paraId="11EF5374">
            <w:pPr>
              <w:jc w:val="left"/>
              <w:rPr>
                <w:rFonts w:hint="eastAsia" w:ascii="宋体" w:hAnsi="宋体" w:cs="宋体"/>
                <w:color w:val="auto"/>
                <w:szCs w:val="21"/>
                <w:highlight w:val="none"/>
              </w:rPr>
            </w:pPr>
          </w:p>
        </w:tc>
        <w:tc>
          <w:tcPr>
            <w:tcW w:w="1318" w:type="dxa"/>
            <w:vMerge w:val="continue"/>
            <w:noWrap w:val="0"/>
            <w:vAlign w:val="center"/>
          </w:tcPr>
          <w:p w14:paraId="52B56164">
            <w:pPr>
              <w:jc w:val="left"/>
              <w:rPr>
                <w:rFonts w:hint="eastAsia" w:ascii="宋体" w:hAnsi="宋体" w:cs="宋体"/>
                <w:color w:val="auto"/>
                <w:szCs w:val="21"/>
                <w:highlight w:val="none"/>
              </w:rPr>
            </w:pPr>
          </w:p>
        </w:tc>
        <w:tc>
          <w:tcPr>
            <w:tcW w:w="2931" w:type="dxa"/>
            <w:noWrap w:val="0"/>
            <w:vAlign w:val="center"/>
          </w:tcPr>
          <w:p w14:paraId="53C37EAB">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（8）商务条款响应程度（包括不限于业绩、</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服务</w:t>
            </w:r>
            <w:r>
              <w:rPr>
                <w:rFonts w:hint="eastAsia" w:ascii="宋体" w:hAnsi="宋体" w:cs="宋体"/>
                <w:color w:val="auto"/>
                <w:szCs w:val="21"/>
                <w:highlight w:val="none"/>
                <w:lang w:val="en-US" w:eastAsia="zh-CN"/>
              </w:rPr>
              <w:t>）期</w:t>
            </w:r>
            <w:r>
              <w:rPr>
                <w:rFonts w:hint="eastAsia" w:ascii="宋体" w:hAnsi="宋体" w:cs="宋体"/>
                <w:color w:val="auto"/>
                <w:szCs w:val="21"/>
                <w:highlight w:val="none"/>
                <w:lang w:val="zh-CN"/>
              </w:rPr>
              <w:t>、售后服务、技术培训等）</w:t>
            </w:r>
          </w:p>
        </w:tc>
        <w:tc>
          <w:tcPr>
            <w:tcW w:w="4691" w:type="dxa"/>
            <w:noWrap w:val="0"/>
            <w:vAlign w:val="center"/>
          </w:tcPr>
          <w:p w14:paraId="48D844E5">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响应招标文件要求。</w:t>
            </w:r>
          </w:p>
        </w:tc>
      </w:tr>
    </w:tbl>
    <w:p w14:paraId="7607F5F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 资格审查及评分细则中涉及的有关证明材料及相关证书，电子投标文件中须按招标文件要求上传</w:t>
      </w:r>
      <w:r>
        <w:rPr>
          <w:rFonts w:hint="eastAsia" w:ascii="宋体" w:hAnsi="宋体" w:cs="宋体"/>
          <w:b/>
          <w:color w:val="auto"/>
          <w:szCs w:val="21"/>
          <w:highlight w:val="none"/>
        </w:rPr>
        <w:t>相应的材料</w:t>
      </w:r>
      <w:r>
        <w:rPr>
          <w:rFonts w:hint="eastAsia" w:ascii="宋体" w:hAnsi="宋体" w:cs="宋体"/>
          <w:color w:val="auto"/>
          <w:szCs w:val="21"/>
          <w:highlight w:val="none"/>
        </w:rPr>
        <w:t>，以供审查。</w:t>
      </w:r>
    </w:p>
    <w:p w14:paraId="4B41B61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4.3． 评标委员会判定投标文件的响应性只根据投标文件本身的内容，而不寻求外部的证据，但投标有不真实不正确的内容时除外。</w:t>
      </w:r>
    </w:p>
    <w:p w14:paraId="3EC6DDB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4.4 如果投标文件实质上没有响应招标文件的要求，评标委员会将予以拒绝，投标人不得通过修正或撤销不符合要求的偏离或保留，而使其投标成为实质上响应的投标。</w:t>
      </w:r>
    </w:p>
    <w:p w14:paraId="0633EB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4.5 投标人可在现场20分钟内对评标委员会的评审结论提出质疑，评标委员会根据招标文件及有关规定对投标人的质疑进行复议。</w:t>
      </w:r>
    </w:p>
    <w:p w14:paraId="1AC47E5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4.6 只有通过初审的投标人才能进入下一步程序。</w:t>
      </w:r>
    </w:p>
    <w:p w14:paraId="55003CCA">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温馨提示：1.请各投标人自行完善安徽省公共资源交易市场主体库中的单位基本信息，保证信息最新且有效。</w:t>
      </w:r>
    </w:p>
    <w:p w14:paraId="3C984BDA">
      <w:pPr>
        <w:spacing w:line="44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投标文件资格审查资料请精心准备,如评标专家在检验电子投标文件过程中，如果由于投标人自身原因导致评标专家无法查看并检验电子投标文件中以上相关资料的，按无效投标处理。即使投标人将原件携带至现场的，同样按无效投标处理。</w:t>
      </w:r>
    </w:p>
    <w:p w14:paraId="0BA3F3A8">
      <w:pPr>
        <w:spacing w:before="156" w:beforeLines="50" w:after="156" w:afterLines="50" w:line="440" w:lineRule="exact"/>
        <w:jc w:val="center"/>
        <w:rPr>
          <w:rFonts w:hint="eastAsia" w:ascii="宋体"/>
          <w:b/>
          <w:color w:val="auto"/>
          <w:sz w:val="24"/>
          <w:highlight w:val="none"/>
        </w:rPr>
      </w:pPr>
      <w:bookmarkStart w:id="74" w:name="_Toc9276"/>
      <w:bookmarkStart w:id="75" w:name="_Toc58430319"/>
      <w:bookmarkStart w:id="76" w:name="_Toc449028879"/>
      <w:bookmarkStart w:id="77" w:name="_Toc362983803"/>
      <w:bookmarkStart w:id="78" w:name="_Toc30297"/>
      <w:bookmarkStart w:id="79" w:name="_Toc10185"/>
      <w:r>
        <w:rPr>
          <w:rFonts w:hint="eastAsia" w:ascii="宋体"/>
          <w:b/>
          <w:color w:val="auto"/>
          <w:sz w:val="24"/>
          <w:highlight w:val="none"/>
        </w:rPr>
        <w:t>三、投标文件的澄清和补正</w:t>
      </w:r>
      <w:bookmarkEnd w:id="74"/>
      <w:bookmarkEnd w:id="75"/>
      <w:bookmarkEnd w:id="76"/>
      <w:bookmarkEnd w:id="77"/>
      <w:bookmarkEnd w:id="78"/>
      <w:bookmarkEnd w:id="79"/>
    </w:p>
    <w:p w14:paraId="17EDA77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 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15E2CFE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 本项目采用远程开标，投标人的澄清、说明或者补正应当在系统进行，但不得超出投标书的范围或者改变投标书的实质性内容。具体操作方法详见服务指南&gt;交易须知&gt;开标大厅远程解密、质疑(异议)及回复以及评标过程中询标流程操作手册。</w:t>
      </w:r>
    </w:p>
    <w:p w14:paraId="58068A0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 评委会修正错误的原则：</w:t>
      </w:r>
    </w:p>
    <w:p w14:paraId="2B73D7B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5.3.1 如果数字表示的金额和用文字表示的金额不一致时，以文字表示的金额为准；当投标数量与招标数量不一致时，以招标数量为准；当分项报价清单、投标函的投标报价与开标一览表不一致时，以开标一览表为准。</w:t>
      </w:r>
    </w:p>
    <w:p w14:paraId="5813F09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5.3.2 如果单价与数量的乘积和总价不一致，以单价为准，修正总价及开标一览表；当单价小数点有明显的错位时，评委会将以总价为准，并修正其单价；投标的数量与招标的数量不一致时，以招标数量为准。</w:t>
      </w:r>
    </w:p>
    <w:p w14:paraId="61463703">
      <w:pPr>
        <w:spacing w:line="440" w:lineRule="exact"/>
        <w:ind w:firstLine="420" w:firstLineChars="200"/>
        <w:jc w:val="left"/>
        <w:rPr>
          <w:rFonts w:hint="eastAsia" w:ascii="宋体"/>
          <w:b/>
          <w:color w:val="auto"/>
          <w:sz w:val="28"/>
          <w:szCs w:val="28"/>
          <w:highlight w:val="none"/>
        </w:rPr>
      </w:pPr>
      <w:r>
        <w:rPr>
          <w:rFonts w:hint="eastAsia" w:ascii="宋体" w:hAnsi="宋体" w:cs="宋体"/>
          <w:color w:val="auto"/>
          <w:szCs w:val="21"/>
          <w:highlight w:val="none"/>
        </w:rPr>
        <w:t>5.4 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bookmarkStart w:id="80" w:name="_Toc24184"/>
      <w:bookmarkStart w:id="81" w:name="_Toc10287"/>
      <w:bookmarkStart w:id="82" w:name="_Toc58430320"/>
      <w:bookmarkStart w:id="83" w:name="_Toc449028880"/>
    </w:p>
    <w:p w14:paraId="28AF8417">
      <w:pPr>
        <w:spacing w:before="156" w:beforeLines="50" w:after="156" w:afterLines="50" w:line="440" w:lineRule="exact"/>
        <w:jc w:val="center"/>
        <w:outlineLvl w:val="9"/>
        <w:rPr>
          <w:rFonts w:hint="eastAsia" w:ascii="宋体"/>
          <w:b/>
          <w:color w:val="auto"/>
          <w:sz w:val="24"/>
          <w:szCs w:val="24"/>
          <w:highlight w:val="none"/>
        </w:rPr>
      </w:pPr>
      <w:r>
        <w:rPr>
          <w:rFonts w:hint="eastAsia" w:ascii="宋体"/>
          <w:b/>
          <w:color w:val="auto"/>
          <w:sz w:val="24"/>
          <w:szCs w:val="24"/>
          <w:highlight w:val="none"/>
        </w:rPr>
        <w:t>四、比较与评价</w:t>
      </w:r>
    </w:p>
    <w:p w14:paraId="70A1D1B6">
      <w:pPr>
        <w:keepNext w:val="0"/>
        <w:keepLines w:val="0"/>
        <w:pageBreakBefore w:val="0"/>
        <w:kinsoku/>
        <w:wordWrap/>
        <w:overflowPunct/>
        <w:topLinePunct w:val="0"/>
        <w:autoSpaceDE/>
        <w:autoSpaceDN/>
        <w:bidi w:val="0"/>
        <w:adjustRightInd/>
        <w:spacing w:line="440" w:lineRule="exact"/>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详细评审即按招标文件中规定的评标方法和标准，评标委员会将对通过初审的投标文件，进行评估、综合比较与评价。</w:t>
      </w:r>
    </w:p>
    <w:p w14:paraId="330E3760">
      <w:pPr>
        <w:keepNext w:val="0"/>
        <w:keepLines w:val="0"/>
        <w:pageBreakBefore w:val="0"/>
        <w:widowControl/>
        <w:suppressLineNumbers w:val="0"/>
        <w:kinsoku/>
        <w:wordWrap/>
        <w:overflowPunct/>
        <w:topLinePunct w:val="0"/>
        <w:autoSpaceDE/>
        <w:autoSpaceDN/>
        <w:bidi w:val="0"/>
        <w:adjustRightInd/>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w:t>
      </w: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 xml:space="preserve"> </w:t>
      </w:r>
      <w:r>
        <w:rPr>
          <w:rFonts w:hint="eastAsia" w:ascii="宋体" w:hAnsi="宋体" w:cs="宋体"/>
          <w:b/>
          <w:bCs/>
          <w:color w:val="auto"/>
          <w:kern w:val="0"/>
          <w:sz w:val="21"/>
          <w:szCs w:val="21"/>
          <w:highlight w:val="none"/>
          <w:lang w:val="en-US" w:eastAsia="zh-CN" w:bidi="ar"/>
        </w:rPr>
        <w:t>技术标评审细则</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60分</w:t>
      </w:r>
      <w:r>
        <w:rPr>
          <w:rFonts w:hint="eastAsia" w:ascii="宋体" w:hAnsi="宋体" w:cs="宋体"/>
          <w:b/>
          <w:bCs/>
          <w:color w:val="auto"/>
          <w:szCs w:val="21"/>
          <w:highlight w:val="none"/>
          <w:lang w:eastAsia="zh-CN"/>
        </w:rPr>
        <w:t>）</w:t>
      </w:r>
    </w:p>
    <w:tbl>
      <w:tblPr>
        <w:tblStyle w:val="23"/>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759"/>
        <w:gridCol w:w="710"/>
        <w:gridCol w:w="6913"/>
      </w:tblGrid>
      <w:tr w14:paraId="4FC2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8003B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028D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评审因素</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B0DB8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分值</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542B13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评审细则</w:t>
            </w:r>
          </w:p>
        </w:tc>
      </w:tr>
      <w:tr w14:paraId="63D9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auto" w:sz="4" w:space="0"/>
              <w:right w:val="single" w:color="000000" w:sz="4" w:space="0"/>
            </w:tcBorders>
            <w:noWrap w:val="0"/>
            <w:vAlign w:val="center"/>
          </w:tcPr>
          <w:p w14:paraId="7CFA8A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759" w:type="dxa"/>
            <w:tcBorders>
              <w:top w:val="single" w:color="000000" w:sz="4" w:space="0"/>
              <w:left w:val="single" w:color="000000" w:sz="4" w:space="0"/>
              <w:bottom w:val="single" w:color="auto" w:sz="4" w:space="0"/>
              <w:right w:val="single" w:color="000000" w:sz="4" w:space="0"/>
            </w:tcBorders>
            <w:noWrap w:val="0"/>
            <w:vAlign w:val="center"/>
          </w:tcPr>
          <w:p w14:paraId="79BD8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类似业绩</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43654A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10分</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12A51C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自2019年1月1日（以合同签订时间为准）以来，投标人具有管道修补器（哈夫节或夹板三通或抢修夹）供货业绩的，每个业绩得5分，满分10分。</w:t>
            </w:r>
          </w:p>
          <w:p w14:paraId="6007A4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备注：1.需同时提供中标通知书和采购合同，否则不得分。</w:t>
            </w:r>
          </w:p>
          <w:p w14:paraId="438592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业绩只计算评标分值对应的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r>
      <w:tr w14:paraId="5E16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auto" w:sz="4" w:space="0"/>
              <w:right w:val="single" w:color="000000" w:sz="4" w:space="0"/>
            </w:tcBorders>
            <w:noWrap w:val="0"/>
            <w:vAlign w:val="center"/>
          </w:tcPr>
          <w:p w14:paraId="2FF309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759" w:type="dxa"/>
            <w:tcBorders>
              <w:top w:val="single" w:color="000000" w:sz="4" w:space="0"/>
              <w:left w:val="single" w:color="000000" w:sz="4" w:space="0"/>
              <w:bottom w:val="single" w:color="auto" w:sz="4" w:space="0"/>
              <w:right w:val="single" w:color="000000" w:sz="4" w:space="0"/>
            </w:tcBorders>
            <w:noWrap w:val="0"/>
            <w:vAlign w:val="center"/>
          </w:tcPr>
          <w:p w14:paraId="6EC19D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投标人认证</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92A8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分</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70D6CB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投标人具有有效期内的质量管理体系认证证书、环境管理体系认证证书、职业健康安全管理体系认证证书，每提供一种类型的认证证书得5分，满分</w:t>
            </w: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分。</w:t>
            </w:r>
          </w:p>
          <w:p w14:paraId="60265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注：提供证书及全国认证认可信息公共服务平台查询截图（截图中须体现证书状态为有效），否则不得分。</w:t>
            </w:r>
          </w:p>
        </w:tc>
      </w:tr>
      <w:tr w14:paraId="68F0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57963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256EB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投标人实力</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0445F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104EA4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1.投标人具有高新技术企业证书的得5分。</w:t>
            </w:r>
          </w:p>
          <w:p w14:paraId="71855B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2.投标人具有模具加工中心、喷砂或抛丸设备、粉末喷涂流水线设备的，每具有一种类型得5分，最高得15分。提供①设备照片（带经纬度、地址定位）②设备购买发票或合同或租赁合同，否则不得分。</w:t>
            </w:r>
          </w:p>
        </w:tc>
      </w:tr>
      <w:tr w14:paraId="0705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D91BF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D3ADC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检测报告</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34DD2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12分</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6879D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人具有用于不同材质管材的球墨铸铁哈夫节检测报告，按①用于PE、PVC管②用于水泥管③用于球墨铸铁管进行分类，每提供一种类型的检测报告得4分，最多得12分。检测报告须为检测合格的报告，且检测报告封面有CMA或CNAS标识。</w:t>
            </w:r>
          </w:p>
        </w:tc>
      </w:tr>
      <w:tr w14:paraId="3409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6B5E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bookmarkStart w:id="122" w:name="_GoBack"/>
            <w:bookmarkEnd w:id="122"/>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31D8D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售后服务承诺</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0C5919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3分</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773171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投标人承诺售后服务响应时间为12小时内到达指定位置并解决问题的得3分。提供承诺函（格式自拟，加盖投标人公章），未提供或承诺时间超过12小时此项不得分）</w:t>
            </w:r>
          </w:p>
        </w:tc>
      </w:tr>
      <w:tr w14:paraId="51BD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78" w:type="dxa"/>
            <w:gridSpan w:val="4"/>
            <w:tcBorders>
              <w:top w:val="single" w:color="000000" w:sz="4" w:space="0"/>
              <w:left w:val="single" w:color="000000" w:sz="4" w:space="0"/>
              <w:bottom w:val="single" w:color="auto" w:sz="4" w:space="0"/>
              <w:right w:val="single" w:color="000000" w:sz="4" w:space="0"/>
            </w:tcBorders>
            <w:noWrap w:val="0"/>
            <w:vAlign w:val="center"/>
          </w:tcPr>
          <w:p w14:paraId="036CFC1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b w:val="0"/>
                <w:bCs w:val="0"/>
                <w:color w:val="auto"/>
                <w:sz w:val="21"/>
                <w:szCs w:val="21"/>
                <w:highlight w:val="none"/>
                <w:lang w:val="en-US" w:eastAsia="zh-CN"/>
              </w:rPr>
              <w:t>：1、以上评审细</w:t>
            </w:r>
            <w:r>
              <w:rPr>
                <w:rFonts w:hint="eastAsia" w:ascii="宋体" w:hAnsi="宋体" w:eastAsia="宋体" w:cs="宋体"/>
                <w:color w:val="auto"/>
                <w:sz w:val="21"/>
                <w:szCs w:val="21"/>
                <w:highlight w:val="none"/>
                <w:lang w:val="en-US" w:eastAsia="zh-CN"/>
              </w:rPr>
              <w:t>则中涉及到须提供的相关材料，除注明外均须在投标文件中上传相关材料原件的彩色扫描件，否则不得分。</w:t>
            </w:r>
          </w:p>
          <w:p w14:paraId="7FC722E1">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2、以上评审细则中涉及到须提供的相关材料中有关于有效期的描述的则相关材料必须在有效期内，否则不得分。</w:t>
            </w:r>
          </w:p>
        </w:tc>
      </w:tr>
    </w:tbl>
    <w:p w14:paraId="1E9B7D01">
      <w:pPr>
        <w:keepNext w:val="0"/>
        <w:keepLines w:val="0"/>
        <w:pageBreakBefore w:val="0"/>
        <w:widowControl/>
        <w:suppressLineNumbers w:val="0"/>
        <w:kinsoku/>
        <w:wordWrap/>
        <w:overflowPunct/>
        <w:topLinePunct w:val="0"/>
        <w:autoSpaceDE/>
        <w:autoSpaceDN/>
        <w:bidi w:val="0"/>
        <w:adjustRightInd/>
        <w:spacing w:line="440" w:lineRule="exact"/>
        <w:ind w:left="0"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w:t>
      </w: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 xml:space="preserve"> 商务标评审细则（</w:t>
      </w:r>
      <w:r>
        <w:rPr>
          <w:rFonts w:hint="eastAsia" w:ascii="宋体" w:hAnsi="宋体" w:cs="宋体"/>
          <w:b/>
          <w:bCs/>
          <w:color w:val="auto"/>
          <w:kern w:val="0"/>
          <w:sz w:val="21"/>
          <w:szCs w:val="21"/>
          <w:highlight w:val="none"/>
          <w:lang w:val="en-US" w:eastAsia="zh-CN" w:bidi="ar"/>
        </w:rPr>
        <w:t>40</w:t>
      </w:r>
      <w:r>
        <w:rPr>
          <w:rFonts w:hint="eastAsia" w:ascii="宋体" w:hAnsi="宋体" w:eastAsia="宋体" w:cs="宋体"/>
          <w:b/>
          <w:bCs/>
          <w:color w:val="auto"/>
          <w:kern w:val="0"/>
          <w:sz w:val="21"/>
          <w:szCs w:val="21"/>
          <w:highlight w:val="none"/>
          <w:lang w:val="en-US" w:eastAsia="zh-CN" w:bidi="ar"/>
        </w:rPr>
        <w:t>分）</w:t>
      </w:r>
    </w:p>
    <w:tbl>
      <w:tblPr>
        <w:tblStyle w:val="23"/>
        <w:tblW w:w="9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9"/>
        <w:gridCol w:w="1100"/>
        <w:gridCol w:w="838"/>
        <w:gridCol w:w="6477"/>
      </w:tblGrid>
      <w:tr w14:paraId="51CA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66A6CB7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1968F2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评审因素</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090A4B1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分值</w:t>
            </w:r>
          </w:p>
        </w:tc>
        <w:tc>
          <w:tcPr>
            <w:tcW w:w="6477" w:type="dxa"/>
            <w:tcBorders>
              <w:top w:val="single" w:color="000000" w:sz="4" w:space="0"/>
              <w:left w:val="single" w:color="000000" w:sz="4" w:space="0"/>
              <w:bottom w:val="single" w:color="000000" w:sz="4" w:space="0"/>
              <w:right w:val="single" w:color="000000" w:sz="4" w:space="0"/>
            </w:tcBorders>
            <w:noWrap w:val="0"/>
            <w:vAlign w:val="center"/>
          </w:tcPr>
          <w:p w14:paraId="307405A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评审细则</w:t>
            </w:r>
          </w:p>
        </w:tc>
      </w:tr>
      <w:tr w14:paraId="3C55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6F7DDA1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D57F9F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投标报价评分</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1EBD4A8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40</w:t>
            </w:r>
            <w:r>
              <w:rPr>
                <w:rFonts w:hint="eastAsia" w:ascii="宋体" w:hAnsi="宋体" w:eastAsia="宋体" w:cs="宋体"/>
                <w:color w:val="auto"/>
                <w:kern w:val="2"/>
                <w:sz w:val="21"/>
                <w:szCs w:val="21"/>
                <w:highlight w:val="none"/>
                <w:lang w:val="en-US" w:eastAsia="zh-CN" w:bidi="ar-SA"/>
              </w:rPr>
              <w:t>分</w:t>
            </w:r>
          </w:p>
        </w:tc>
        <w:tc>
          <w:tcPr>
            <w:tcW w:w="6477" w:type="dxa"/>
            <w:tcBorders>
              <w:top w:val="single" w:color="000000" w:sz="4" w:space="0"/>
              <w:left w:val="single" w:color="000000" w:sz="4" w:space="0"/>
              <w:bottom w:val="single" w:color="000000" w:sz="4" w:space="0"/>
              <w:right w:val="single" w:color="000000" w:sz="4" w:space="0"/>
            </w:tcBorders>
            <w:noWrap w:val="0"/>
            <w:vAlign w:val="center"/>
          </w:tcPr>
          <w:p w14:paraId="1058CE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招标人设置投标报价最高限价，各投标人有效报价不得高于最高限价，否则，其投标文件按无效标处理。</w:t>
            </w:r>
          </w:p>
          <w:p w14:paraId="35A1683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1.评标基准价=所有有效投标人的最低报价，其得分为满分；</w:t>
            </w:r>
          </w:p>
          <w:p w14:paraId="73E1EA9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2.其它报价得分=评标基准价/投标报价*</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0分；</w:t>
            </w:r>
          </w:p>
          <w:p w14:paraId="7657CB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3.本项分值由评标委员会负责组织计算。</w:t>
            </w:r>
          </w:p>
        </w:tc>
      </w:tr>
    </w:tbl>
    <w:p w14:paraId="7E9A0EBC">
      <w:pPr>
        <w:keepNext w:val="0"/>
        <w:keepLines w:val="0"/>
        <w:pageBreakBefore w:val="0"/>
        <w:kinsoku/>
        <w:wordWrap/>
        <w:overflowPunct/>
        <w:topLinePunct w:val="0"/>
        <w:autoSpaceDE/>
        <w:autoSpaceDN/>
        <w:bidi w:val="0"/>
        <w:adjustRightInd/>
        <w:spacing w:line="440" w:lineRule="exact"/>
        <w:ind w:left="0"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特别说明：</w:t>
      </w:r>
      <w:r>
        <w:rPr>
          <w:rFonts w:hint="eastAsia" w:ascii="宋体" w:hAnsi="宋体" w:cs="宋体"/>
          <w:color w:val="auto"/>
          <w:szCs w:val="21"/>
          <w:highlight w:val="none"/>
        </w:rPr>
        <w:t xml:space="preserve"> </w:t>
      </w:r>
    </w:p>
    <w:p w14:paraId="515B4F7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评标专家检验电子投标文件的上述材料，如果由于投标人自身原因导致评标专家无法查看并检验电子投标文件中以上相关资料的，后果有投标人自行承担。</w:t>
      </w:r>
    </w:p>
    <w:p w14:paraId="2B7CCF65">
      <w:pPr>
        <w:spacing w:line="1" w:lineRule="exact"/>
        <w:rPr>
          <w:rFonts w:ascii="Arial" w:hAnsi="Arial" w:eastAsia="Arial" w:cs="Arial"/>
          <w:color w:val="auto"/>
          <w:sz w:val="10"/>
          <w:highlight w:val="none"/>
        </w:rPr>
      </w:pPr>
    </w:p>
    <w:p w14:paraId="6A36BDC7">
      <w:pPr>
        <w:spacing w:before="156" w:beforeLines="50" w:after="156" w:afterLines="50" w:line="440" w:lineRule="exact"/>
        <w:jc w:val="center"/>
        <w:rPr>
          <w:rFonts w:hint="eastAsia" w:ascii="宋体"/>
          <w:b/>
          <w:color w:val="auto"/>
          <w:sz w:val="24"/>
          <w:highlight w:val="none"/>
        </w:rPr>
      </w:pPr>
      <w:bookmarkStart w:id="84" w:name="_Toc58430321"/>
      <w:r>
        <w:rPr>
          <w:rFonts w:hint="eastAsia" w:ascii="宋体"/>
          <w:b/>
          <w:color w:val="auto"/>
          <w:sz w:val="24"/>
          <w:highlight w:val="none"/>
        </w:rPr>
        <w:t>五、推荐中标候选人</w:t>
      </w:r>
      <w:bookmarkEnd w:id="84"/>
    </w:p>
    <w:p w14:paraId="4A01A2E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7. 评标委员会按总得分从高到低按顺序，推荐 1 名中标候选人。 </w:t>
      </w:r>
    </w:p>
    <w:p w14:paraId="2E8944A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7.1 总得分相同的，按投标报价由低到高顺序排列。总得分且报价相同的并列，由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现场采取随机摇号的方式确定中标候选人。</w:t>
      </w:r>
    </w:p>
    <w:p w14:paraId="1079226F">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8. 无效投标条款</w:t>
      </w:r>
    </w:p>
    <w:p w14:paraId="285F89B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8.1 投标文件有下列情形之一的,其投标文件拒收:</w:t>
      </w:r>
    </w:p>
    <w:p w14:paraId="3F2CB1AF">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（1）未在开标截止时间前通过网上招标投标系统递交有效电子投标文件的，开标系统不予接收，投标将被拒绝。</w:t>
      </w:r>
    </w:p>
    <w:p w14:paraId="2DD12FF3">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（2）投标企业接到远程解密指令后，须在规定时间内解密。因投标人自身原因导致投标文件在规定时间内未能解密、解密失败或解密超时，投标文件无效；</w:t>
      </w:r>
      <w:r>
        <w:rPr>
          <w:rFonts w:hint="eastAsia" w:ascii="宋体" w:hAnsi="宋体" w:cs="宋体"/>
          <w:b/>
          <w:bCs/>
          <w:color w:val="auto"/>
          <w:szCs w:val="21"/>
          <w:highlight w:val="none"/>
        </w:rPr>
        <w:t>解密时间：从本项目投标截止时间开始计时，至完成投标文件解密时间，不得超过60分钟，否则投标文件将被拒绝。</w:t>
      </w:r>
    </w:p>
    <w:p w14:paraId="32ABAAA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8.2 投标人有下列情形之一的,资格审查后其投标作无效投标处理：</w:t>
      </w:r>
    </w:p>
    <w:p w14:paraId="7EE33C5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31AA5AB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3296D35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(3)投标保证金未按规定要求缴纳的；</w:t>
      </w:r>
    </w:p>
    <w:p w14:paraId="239C982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评标专家无法查看并检验电子标书中相关资料的；</w:t>
      </w:r>
    </w:p>
    <w:p w14:paraId="2395ABA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(5)联合体投标未提交联合体协议的；</w:t>
      </w:r>
    </w:p>
    <w:p w14:paraId="53A0D03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(6)被暂停营业的；</w:t>
      </w:r>
    </w:p>
    <w:p w14:paraId="2E073BF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(7)被暂停或取消投标资格的；</w:t>
      </w:r>
    </w:p>
    <w:p w14:paraId="3397292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(8)财产被接管或冻结的；</w:t>
      </w:r>
    </w:p>
    <w:p w14:paraId="0F875D4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(9)投标人单位负责人为同一人或者存在控股、管理关系的不同单位的；</w:t>
      </w:r>
    </w:p>
    <w:p w14:paraId="32BD285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(10)投标人基本资格条件和特定资格条件中有一项及以上不符合要求的；</w:t>
      </w:r>
    </w:p>
    <w:p w14:paraId="1D96863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0B7C1C1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(12)其它情形，经评标委员会委提出按无效投标处理的；</w:t>
      </w:r>
    </w:p>
    <w:p w14:paraId="2143A28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(13)投标人MAC地址一致的；</w:t>
      </w:r>
    </w:p>
    <w:p w14:paraId="6B20603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(14)投标人单方面出现其他投标人材料的；</w:t>
      </w:r>
    </w:p>
    <w:p w14:paraId="2F09904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(15)招标文件规定的其它无效投标情形。</w:t>
      </w:r>
    </w:p>
    <w:p w14:paraId="2EBB221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8.3 投标人有下列情形之一的,符合性审查后其投标按无效投标处理：</w:t>
      </w:r>
    </w:p>
    <w:p w14:paraId="3C68444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w:t>
      </w:r>
    </w:p>
    <w:p w14:paraId="37308D4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(2)未按规定的格式填写，实质性内容不全或关键字迹模糊、无法辨认；</w:t>
      </w:r>
    </w:p>
    <w:p w14:paraId="7FE03F9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22986357">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0F7384A0">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
          <w:bCs/>
          <w:color w:val="auto"/>
          <w:szCs w:val="21"/>
          <w:highlight w:val="none"/>
        </w:rPr>
      </w:pPr>
      <w:r>
        <w:rPr>
          <w:rFonts w:hint="eastAsia" w:ascii="宋体" w:hAnsi="宋体" w:cs="宋体"/>
          <w:color w:val="auto"/>
          <w:szCs w:val="21"/>
          <w:highlight w:val="none"/>
        </w:rPr>
        <w:t>(5)投标报价超出规定的投标限价或公布的</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预算的或投标人的投标报价各项单价高于招标文件给定的单价最高限价；</w:t>
      </w:r>
    </w:p>
    <w:p w14:paraId="741E35A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2F52247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w:t>
      </w:r>
    </w:p>
    <w:p w14:paraId="5A9AC52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21EEA80F">
      <w:pPr>
        <w:keepNext w:val="0"/>
        <w:keepLines w:val="0"/>
        <w:pageBreakBefore w:val="0"/>
        <w:widowControl w:val="0"/>
        <w:tabs>
          <w:tab w:val="left" w:pos="1123"/>
        </w:tabs>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2C8FCE1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1E757AB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090361B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5698AC8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不能接受的条件的；</w:t>
      </w:r>
    </w:p>
    <w:p w14:paraId="1BF5F3D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14:paraId="1F12BE8F">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(5)报价明显低于其他投标人，且不能证明报价合理性的投标无效；</w:t>
      </w:r>
    </w:p>
    <w:p w14:paraId="50800A6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(6)拒不确认评标委员会评审修正的投标无效；</w:t>
      </w:r>
    </w:p>
    <w:p w14:paraId="07E0E06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305826A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Cs w:val="21"/>
          <w:highlight w:val="none"/>
        </w:rPr>
        <w:sectPr>
          <w:footnotePr>
            <w:pos w:val="beneathText"/>
          </w:footnotePr>
          <w:pgSz w:w="11906" w:h="16838"/>
          <w:pgMar w:top="1440" w:right="1466" w:bottom="1440" w:left="1800" w:header="851" w:footer="992" w:gutter="0"/>
          <w:pgNumType w:fmt="decimal"/>
          <w:cols w:space="720" w:num="1"/>
          <w:docGrid w:type="lines" w:linePitch="312" w:charSpace="0"/>
        </w:sectPr>
      </w:pPr>
      <w:r>
        <w:rPr>
          <w:rFonts w:hint="eastAsia" w:ascii="宋体" w:hAnsi="宋体" w:cs="宋体"/>
          <w:color w:val="auto"/>
          <w:szCs w:val="21"/>
          <w:highlight w:val="none"/>
        </w:rPr>
        <w:t>(8)招标文件规定的其它无效投标情形。</w:t>
      </w:r>
    </w:p>
    <w:p w14:paraId="64582DDA">
      <w:pPr>
        <w:pStyle w:val="5"/>
        <w:pageBreakBefore w:val="0"/>
        <w:numPr>
          <w:ilvl w:val="0"/>
          <w:numId w:val="0"/>
        </w:numPr>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宋体"/>
          <w:b/>
          <w:color w:val="auto"/>
          <w:sz w:val="28"/>
          <w:szCs w:val="28"/>
          <w:highlight w:val="none"/>
          <w:lang w:val="en-US" w:eastAsia="zh-CN"/>
        </w:rPr>
      </w:pPr>
      <w:bookmarkStart w:id="85" w:name="_Toc25468"/>
      <w:r>
        <w:rPr>
          <w:rFonts w:hint="eastAsia" w:ascii="宋体"/>
          <w:b/>
          <w:color w:val="auto"/>
          <w:sz w:val="28"/>
          <w:szCs w:val="28"/>
          <w:highlight w:val="none"/>
          <w:lang w:val="en-US" w:eastAsia="zh-CN"/>
        </w:rPr>
        <w:t>第四章 采购需求及技术参数要求</w:t>
      </w:r>
      <w:bookmarkEnd w:id="85"/>
    </w:p>
    <w:p w14:paraId="2317C1F9">
      <w:pPr>
        <w:keepNext w:val="0"/>
        <w:keepLines w:val="0"/>
        <w:pageBreakBefore w:val="0"/>
        <w:kinsoku/>
        <w:wordWrap/>
        <w:overflowPunct/>
        <w:topLinePunct w:val="0"/>
        <w:bidi w:val="0"/>
        <w:adjustRightInd/>
        <w:snapToGrid/>
        <w:spacing w:line="420" w:lineRule="exact"/>
        <w:jc w:val="both"/>
        <w:outlineLvl w:val="9"/>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一、</w:t>
      </w:r>
      <w:r>
        <w:rPr>
          <w:rFonts w:hint="eastAsia" w:ascii="宋体" w:hAnsi="宋体" w:eastAsia="宋体" w:cs="Times New Roman"/>
          <w:b/>
          <w:color w:val="auto"/>
          <w:szCs w:val="21"/>
          <w:highlight w:val="none"/>
          <w:lang w:val="en-US" w:eastAsia="zh-CN"/>
        </w:rPr>
        <w:t>采购需求</w:t>
      </w:r>
    </w:p>
    <w:tbl>
      <w:tblPr>
        <w:tblStyle w:val="23"/>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2314"/>
        <w:gridCol w:w="1512"/>
        <w:gridCol w:w="818"/>
        <w:gridCol w:w="1750"/>
        <w:gridCol w:w="1228"/>
        <w:gridCol w:w="1238"/>
      </w:tblGrid>
      <w:tr w14:paraId="5445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918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80F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58C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411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F3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计划采购</w:t>
            </w:r>
            <w:r>
              <w:rPr>
                <w:rFonts w:hint="eastAsia" w:ascii="宋体" w:hAnsi="宋体" w:eastAsia="宋体" w:cs="宋体"/>
                <w:b/>
                <w:bCs/>
                <w:i w:val="0"/>
                <w:iCs w:val="0"/>
                <w:color w:val="auto"/>
                <w:kern w:val="0"/>
                <w:sz w:val="22"/>
                <w:szCs w:val="22"/>
                <w:highlight w:val="none"/>
                <w:u w:val="none"/>
                <w:lang w:val="en-US" w:eastAsia="zh-CN" w:bidi="ar"/>
              </w:rPr>
              <w:t>数量</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27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单价（元）</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5DD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合价（元）</w:t>
            </w:r>
          </w:p>
        </w:tc>
      </w:tr>
      <w:tr w14:paraId="5B43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8CC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91112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D34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131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9EA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9FD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46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79A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36800</w:t>
            </w:r>
          </w:p>
        </w:tc>
      </w:tr>
      <w:tr w14:paraId="300E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F03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15B41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2D3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79E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338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0CC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51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249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40800</w:t>
            </w:r>
          </w:p>
        </w:tc>
      </w:tr>
      <w:tr w14:paraId="0DC4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396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CFB5C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21B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φ32</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E62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444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0E4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59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6E3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47200</w:t>
            </w:r>
          </w:p>
        </w:tc>
      </w:tr>
      <w:tr w14:paraId="756A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CDA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B9145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8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896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76D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48B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7C3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72000</w:t>
            </w:r>
          </w:p>
        </w:tc>
      </w:tr>
      <w:tr w14:paraId="7AD5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232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72701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416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φ63</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133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8E6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91D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135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7DA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108000</w:t>
            </w:r>
          </w:p>
        </w:tc>
      </w:tr>
      <w:tr w14:paraId="50BF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E77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20034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206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φ75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5C6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8A7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19F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178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AD0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142400</w:t>
            </w:r>
          </w:p>
        </w:tc>
      </w:tr>
      <w:tr w14:paraId="4AD2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C22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29CE0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406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φ90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A74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12E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4C7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232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C57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116000</w:t>
            </w:r>
          </w:p>
        </w:tc>
      </w:tr>
      <w:tr w14:paraId="333A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784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62D0A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3DE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φ110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D3A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A31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365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256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BCE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204800</w:t>
            </w:r>
          </w:p>
        </w:tc>
      </w:tr>
      <w:tr w14:paraId="2DAC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CC6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D587F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72F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φ160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719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675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AC2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346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A9F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173000</w:t>
            </w:r>
          </w:p>
        </w:tc>
      </w:tr>
      <w:tr w14:paraId="5CEB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ED3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D0CDE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1FC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EC0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429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5AD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463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787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231500</w:t>
            </w:r>
          </w:p>
        </w:tc>
      </w:tr>
      <w:tr w14:paraId="584E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132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93729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949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φ225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A16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34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E95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502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2E4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2510</w:t>
            </w:r>
          </w:p>
        </w:tc>
      </w:tr>
      <w:tr w14:paraId="552D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CD4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50482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01B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5B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66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294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564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6DA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11280</w:t>
            </w:r>
          </w:p>
        </w:tc>
      </w:tr>
      <w:tr w14:paraId="37F9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2C3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C6CE1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D10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φ280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C4D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421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10E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663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4E2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13260</w:t>
            </w:r>
          </w:p>
        </w:tc>
      </w:tr>
      <w:tr w14:paraId="5C2F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313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00735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8D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φ315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449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2F7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D0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780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F7D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39000</w:t>
            </w:r>
          </w:p>
        </w:tc>
      </w:tr>
      <w:tr w14:paraId="6B7B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DF9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3FCF7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658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φ355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5B5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317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5B0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987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625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1974</w:t>
            </w:r>
          </w:p>
        </w:tc>
      </w:tr>
      <w:tr w14:paraId="2D2D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0BF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840AC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8FD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D5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87F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0DC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640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6500</w:t>
            </w:r>
          </w:p>
        </w:tc>
      </w:tr>
      <w:tr w14:paraId="501C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FE9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2F509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41A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D4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38C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83F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1400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E24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8400</w:t>
            </w:r>
          </w:p>
        </w:tc>
      </w:tr>
      <w:tr w14:paraId="59F6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E02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ECE58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883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274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AA7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6D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1667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548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3334</w:t>
            </w:r>
          </w:p>
        </w:tc>
      </w:tr>
      <w:tr w14:paraId="5937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45D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5264A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5A5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φ110*500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2A6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7F2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40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335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884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6700</w:t>
            </w:r>
          </w:p>
        </w:tc>
      </w:tr>
      <w:tr w14:paraId="761E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C19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68F8A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5A1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φ110*1000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E69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59C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DBA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670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6CC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13400</w:t>
            </w:r>
          </w:p>
        </w:tc>
      </w:tr>
      <w:tr w14:paraId="1A19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714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D90D7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058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φ160*500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49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9B8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91F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448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A77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8960</w:t>
            </w:r>
          </w:p>
        </w:tc>
      </w:tr>
      <w:tr w14:paraId="6FC9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8B3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C48FB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D8E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φ160*1000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6BD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54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2CB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848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453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16960</w:t>
            </w:r>
          </w:p>
        </w:tc>
      </w:tr>
      <w:tr w14:paraId="3862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EC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F4C11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9A0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DBF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20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21C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586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116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11720</w:t>
            </w:r>
          </w:p>
        </w:tc>
      </w:tr>
      <w:tr w14:paraId="33FB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8E4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E263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E2C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1D2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D73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191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977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F17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19540</w:t>
            </w:r>
          </w:p>
        </w:tc>
      </w:tr>
      <w:tr w14:paraId="2DAB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3F3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1691F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65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F28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20A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84A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92C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6000</w:t>
            </w:r>
          </w:p>
        </w:tc>
      </w:tr>
      <w:tr w14:paraId="0240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7AA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FDD22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EF4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8A3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E79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ABB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988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891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9880</w:t>
            </w:r>
          </w:p>
        </w:tc>
      </w:tr>
      <w:tr w14:paraId="6256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B65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B3B13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AA1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φ280*500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EFB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7B3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9E0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610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854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3050</w:t>
            </w:r>
          </w:p>
        </w:tc>
      </w:tr>
      <w:tr w14:paraId="5830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043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D3E6F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46A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φ280*1000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290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936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D37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EEA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5250</w:t>
            </w:r>
          </w:p>
        </w:tc>
      </w:tr>
      <w:tr w14:paraId="6FD0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11D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5CB21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0D9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φ315*500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096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B46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BED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780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A44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3900</w:t>
            </w:r>
          </w:p>
        </w:tc>
      </w:tr>
      <w:tr w14:paraId="7130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1DC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19F8A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9B5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φ315*1000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A57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C7A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A91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1450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114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7250</w:t>
            </w:r>
          </w:p>
        </w:tc>
      </w:tr>
      <w:tr w14:paraId="2A99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928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12B18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493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F24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1AD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22F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1200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679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2400</w:t>
            </w:r>
          </w:p>
        </w:tc>
      </w:tr>
      <w:tr w14:paraId="5BB5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C5C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95CD1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D2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4A8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0C7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B4A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2100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F55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4200</w:t>
            </w:r>
          </w:p>
        </w:tc>
      </w:tr>
      <w:tr w14:paraId="43DE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249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E4C65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939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FEC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978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0A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828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3200</w:t>
            </w:r>
          </w:p>
        </w:tc>
      </w:tr>
      <w:tr w14:paraId="17C8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0A2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ACF8F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82E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0BC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28A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C16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2400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36F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4800</w:t>
            </w:r>
          </w:p>
        </w:tc>
      </w:tr>
      <w:tr w14:paraId="5611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BBC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C25A4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580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φ110*100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55A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0A7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C3E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390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27A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7800</w:t>
            </w:r>
          </w:p>
        </w:tc>
      </w:tr>
      <w:tr w14:paraId="487E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DC3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8F7F5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7CE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φ160*100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FB7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840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C80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480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7DE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9600</w:t>
            </w:r>
          </w:p>
        </w:tc>
      </w:tr>
      <w:tr w14:paraId="7895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02F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1F314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731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φ160*160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FC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9A7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E37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556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AA5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11120</w:t>
            </w:r>
          </w:p>
        </w:tc>
      </w:tr>
      <w:tr w14:paraId="4468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C8E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35C1D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45A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C3B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BCC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F20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584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2B2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11680</w:t>
            </w:r>
          </w:p>
        </w:tc>
      </w:tr>
      <w:tr w14:paraId="274B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272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D4FBD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755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85F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55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4FF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860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FC4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17200</w:t>
            </w:r>
          </w:p>
        </w:tc>
      </w:tr>
      <w:tr w14:paraId="1A2F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067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96223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90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E68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A47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B5A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641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132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12820</w:t>
            </w:r>
          </w:p>
        </w:tc>
      </w:tr>
      <w:tr w14:paraId="0319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097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8C06D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3D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C34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AFC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80A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672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C19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6720</w:t>
            </w:r>
          </w:p>
        </w:tc>
      </w:tr>
      <w:tr w14:paraId="3C91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1B1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3FEF9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8A9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549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AAF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ED1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780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6B1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7800</w:t>
            </w:r>
          </w:p>
        </w:tc>
      </w:tr>
      <w:tr w14:paraId="0EBC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89D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95454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CB0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C92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2D5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992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861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E40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8610</w:t>
            </w:r>
          </w:p>
        </w:tc>
      </w:tr>
      <w:tr w14:paraId="2951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98C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ACB84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24C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CF4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813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08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795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101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7950</w:t>
            </w:r>
          </w:p>
        </w:tc>
      </w:tr>
      <w:tr w14:paraId="79AC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A7A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31275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C00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E59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AD5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9D6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830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ECA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8300</w:t>
            </w:r>
          </w:p>
        </w:tc>
      </w:tr>
      <w:tr w14:paraId="77FE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F7E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C8E25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3E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A32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A26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C25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1100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133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11000</w:t>
            </w:r>
          </w:p>
        </w:tc>
      </w:tr>
      <w:tr w14:paraId="3884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CA5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9074B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CDB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φ300*300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8F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880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07D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555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13000</w:t>
            </w:r>
          </w:p>
        </w:tc>
      </w:tr>
      <w:tr w14:paraId="7B44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5B7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84EEF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534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B1D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A37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604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1370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0D7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2740</w:t>
            </w:r>
          </w:p>
        </w:tc>
      </w:tr>
      <w:tr w14:paraId="3A20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D41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53670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E5F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D28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082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B58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1420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C5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2840</w:t>
            </w:r>
          </w:p>
        </w:tc>
      </w:tr>
      <w:tr w14:paraId="024A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AFC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C634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BB6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638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C20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2DF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1460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D05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2920</w:t>
            </w:r>
          </w:p>
        </w:tc>
      </w:tr>
      <w:tr w14:paraId="0FE2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C6F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6BEE7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8B6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φ400*300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7AA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4B7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F11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1500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480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r>
      <w:tr w14:paraId="49761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444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8156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F69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887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561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700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793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3200</w:t>
            </w:r>
          </w:p>
        </w:tc>
      </w:tr>
      <w:tr w14:paraId="4673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9EA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37A09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14A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3C8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503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083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1700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B74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3400</w:t>
            </w:r>
          </w:p>
        </w:tc>
      </w:tr>
      <w:tr w14:paraId="7A10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9BE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DF9C4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（适用于PE、PVC管）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FF6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5B3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1C1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E8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1750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352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3500</w:t>
            </w:r>
          </w:p>
        </w:tc>
      </w:tr>
      <w:tr w14:paraId="60AB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54A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059C5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9FB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B34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38D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EFF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571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959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57100</w:t>
            </w:r>
          </w:p>
        </w:tc>
      </w:tr>
      <w:tr w14:paraId="0523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602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B01DF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000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FA4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23F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E6E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660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328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66000</w:t>
            </w:r>
          </w:p>
        </w:tc>
      </w:tr>
      <w:tr w14:paraId="3C5B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762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8BD30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C8F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395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8D1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154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52E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48000</w:t>
            </w:r>
          </w:p>
        </w:tc>
      </w:tr>
      <w:tr w14:paraId="3BB7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174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6BCF1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954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610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B83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6CF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1500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CB5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90000</w:t>
            </w:r>
          </w:p>
        </w:tc>
      </w:tr>
      <w:tr w14:paraId="0E1D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21F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D3DE4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2E3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5FD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D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176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580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4ED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5800</w:t>
            </w:r>
          </w:p>
        </w:tc>
      </w:tr>
      <w:tr w14:paraId="66F7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B9F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6EAB7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296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E5A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612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5DD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1500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23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15000</w:t>
            </w:r>
          </w:p>
        </w:tc>
      </w:tr>
      <w:tr w14:paraId="0B8F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2C8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02D5C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ACA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D81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42B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F74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2A5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8000</w:t>
            </w:r>
          </w:p>
        </w:tc>
      </w:tr>
      <w:tr w14:paraId="2DEA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A6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90430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097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2B0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D47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B65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1800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954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18000</w:t>
            </w:r>
          </w:p>
        </w:tc>
      </w:tr>
      <w:tr w14:paraId="704C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C0A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96122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31B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6E5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DB0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E15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DC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9000</w:t>
            </w:r>
          </w:p>
        </w:tc>
      </w:tr>
      <w:tr w14:paraId="60DE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496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8551F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2BB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EA1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0F4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FC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2100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392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21000</w:t>
            </w:r>
          </w:p>
        </w:tc>
      </w:tr>
      <w:tr w14:paraId="2CB4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1BD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74AB4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A1E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B7C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195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461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1500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25D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7500</w:t>
            </w:r>
          </w:p>
        </w:tc>
      </w:tr>
      <w:tr w14:paraId="7CD0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5F9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F79CC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（适用于水泥管）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5CE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638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8F3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46F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538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17500</w:t>
            </w:r>
          </w:p>
        </w:tc>
      </w:tr>
      <w:tr w14:paraId="6764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856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B2E7F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807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3DD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1FB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F1E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280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921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14000</w:t>
            </w:r>
          </w:p>
        </w:tc>
      </w:tr>
      <w:tr w14:paraId="64A1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EF6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4A093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26D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2FC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B05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DA2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292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20000</w:t>
            </w:r>
          </w:p>
        </w:tc>
      </w:tr>
      <w:tr w14:paraId="1754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4C0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3D49E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23F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E05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E55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C24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570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2FD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28500</w:t>
            </w:r>
          </w:p>
        </w:tc>
      </w:tr>
      <w:tr w14:paraId="0EAD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5C1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23ECF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2C8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DCA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DAE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89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670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E87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1340</w:t>
            </w:r>
          </w:p>
        </w:tc>
      </w:tr>
      <w:tr w14:paraId="23B5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896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766D3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352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AFF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410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BB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790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C6E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39500</w:t>
            </w:r>
          </w:p>
        </w:tc>
      </w:tr>
      <w:tr w14:paraId="151C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3E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C319A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9E0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A2E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530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6F5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FB7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6500</w:t>
            </w:r>
          </w:p>
        </w:tc>
      </w:tr>
      <w:tr w14:paraId="3152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EE2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5794C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6B4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D7A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4EA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51C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46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3200</w:t>
            </w:r>
          </w:p>
        </w:tc>
      </w:tr>
      <w:tr w14:paraId="2485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EB4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E3B7A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959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φ600 大头</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C45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76D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C69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2100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9E5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2100</w:t>
            </w:r>
          </w:p>
        </w:tc>
      </w:tr>
      <w:tr w14:paraId="096C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4B0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C6E8A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595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691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B7A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065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330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9E8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1650</w:t>
            </w:r>
          </w:p>
        </w:tc>
      </w:tr>
      <w:tr w14:paraId="1B09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872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287EB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99B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CA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253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FFC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FB2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r>
      <w:tr w14:paraId="521D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A46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6D64F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7C7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4E8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AC2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0A0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470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A79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2350</w:t>
            </w:r>
          </w:p>
        </w:tc>
      </w:tr>
      <w:tr w14:paraId="4637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2D8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012B8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17D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9F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5FE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31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DA0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4250</w:t>
            </w:r>
          </w:p>
        </w:tc>
      </w:tr>
      <w:tr w14:paraId="3879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232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D3848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78A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EB3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CE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AD0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610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9AC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3050</w:t>
            </w:r>
          </w:p>
        </w:tc>
      </w:tr>
      <w:tr w14:paraId="4640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B85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96DAC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F0C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4FC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AAB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E43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D1D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5000</w:t>
            </w:r>
          </w:p>
        </w:tc>
      </w:tr>
      <w:tr w14:paraId="3BF2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BF6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F2D2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D37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E70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F21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BCA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780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427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780</w:t>
            </w:r>
          </w:p>
        </w:tc>
      </w:tr>
      <w:tr w14:paraId="361C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A66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5A7B7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0E9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387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834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B7E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1100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790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1100</w:t>
            </w:r>
          </w:p>
        </w:tc>
      </w:tr>
      <w:tr w14:paraId="46C3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F2A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DAA5D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D32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52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A52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2C3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D3A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2850</w:t>
            </w:r>
          </w:p>
        </w:tc>
      </w:tr>
      <w:tr w14:paraId="070A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3A2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25B6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9F4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09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F19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7C3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1250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C73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3750</w:t>
            </w:r>
          </w:p>
        </w:tc>
      </w:tr>
      <w:tr w14:paraId="5D7F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556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4DD9A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168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37D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D0A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8B0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1450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44F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1450</w:t>
            </w:r>
          </w:p>
        </w:tc>
      </w:tr>
      <w:tr w14:paraId="577B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BDF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CDB12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F1C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3DB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96D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A12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2100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4A8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2100</w:t>
            </w:r>
          </w:p>
        </w:tc>
      </w:tr>
      <w:tr w14:paraId="6C96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5BF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01CA3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A70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BAE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45E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B9C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1950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ED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1950</w:t>
            </w:r>
          </w:p>
        </w:tc>
      </w:tr>
      <w:tr w14:paraId="1C76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A0D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CAAAB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A5E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φ500*1000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CC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E03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C8E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2500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AA4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2500</w:t>
            </w:r>
          </w:p>
        </w:tc>
      </w:tr>
      <w:tr w14:paraId="628E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3A3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80947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517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CEC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5B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FC4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420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079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4200</w:t>
            </w:r>
          </w:p>
        </w:tc>
      </w:tr>
      <w:tr w14:paraId="1578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449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44A72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08B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C7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F84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7A4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AFC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5000</w:t>
            </w:r>
          </w:p>
        </w:tc>
      </w:tr>
      <w:tr w14:paraId="087C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3C8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927E3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645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3F8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53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8CF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AC6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6000</w:t>
            </w:r>
          </w:p>
        </w:tc>
      </w:tr>
      <w:tr w14:paraId="7CFC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01A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48C60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DD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6D8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FCA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6AC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610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453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6100</w:t>
            </w:r>
          </w:p>
        </w:tc>
      </w:tr>
      <w:tr w14:paraId="6B0A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401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E7C50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203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8C6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702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0AD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660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8C9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6600</w:t>
            </w:r>
          </w:p>
        </w:tc>
      </w:tr>
      <w:tr w14:paraId="469E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AF7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1BC1E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055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φ200*200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873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576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C0E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820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4A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8200</w:t>
            </w:r>
          </w:p>
        </w:tc>
      </w:tr>
      <w:tr w14:paraId="5E92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1DA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51039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A1B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551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333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2E0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780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2B6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7800</w:t>
            </w:r>
          </w:p>
        </w:tc>
      </w:tr>
      <w:tr w14:paraId="36CA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B7A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F15D6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F57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290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E6D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222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830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574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4150</w:t>
            </w:r>
          </w:p>
        </w:tc>
      </w:tr>
      <w:tr w14:paraId="394E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691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AECE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16A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2B5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4F4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652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870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C65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4350</w:t>
            </w:r>
          </w:p>
        </w:tc>
      </w:tr>
      <w:tr w14:paraId="1E67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159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4A4E7A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0D2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φ250*250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783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C20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996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DE1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4750</w:t>
            </w:r>
          </w:p>
        </w:tc>
      </w:tr>
      <w:tr w14:paraId="74A6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5D0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C6EE3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4B5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171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F9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0A1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940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E6C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4700</w:t>
            </w:r>
          </w:p>
        </w:tc>
      </w:tr>
      <w:tr w14:paraId="2141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A25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04FCC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36B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35F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07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728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751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5000</w:t>
            </w:r>
          </w:p>
        </w:tc>
      </w:tr>
      <w:tr w14:paraId="0D68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09B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209546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BC3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513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5A3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D6F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1150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34E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5750</w:t>
            </w:r>
          </w:p>
        </w:tc>
      </w:tr>
      <w:tr w14:paraId="634F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2A1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6B32A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3F7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φ300*300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4FF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1E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B12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524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6500</w:t>
            </w:r>
          </w:p>
        </w:tc>
      </w:tr>
      <w:tr w14:paraId="1AAA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1E7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A1386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EF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CDA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8DB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F43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A02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3200</w:t>
            </w:r>
          </w:p>
        </w:tc>
      </w:tr>
      <w:tr w14:paraId="6F1C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693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678061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D7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A8B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F53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240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1650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C78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3300</w:t>
            </w:r>
          </w:p>
        </w:tc>
      </w:tr>
      <w:tr w14:paraId="3EA9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1CB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F0193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475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φ400*200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4C6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231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6FE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1700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655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3400</w:t>
            </w:r>
          </w:p>
        </w:tc>
      </w:tr>
      <w:tr w14:paraId="3207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A40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051E93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57F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φ500*100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A3A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197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526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2300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8E6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2300</w:t>
            </w:r>
          </w:p>
        </w:tc>
      </w:tr>
      <w:tr w14:paraId="0EC6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DAA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1ECF60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385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φ500*150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1E9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CDD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4FF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2400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673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2400</w:t>
            </w:r>
          </w:p>
        </w:tc>
      </w:tr>
      <w:tr w14:paraId="6FD9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2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7CCEF7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340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φ500*200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788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B8C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185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2500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7C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2500</w:t>
            </w:r>
          </w:p>
        </w:tc>
      </w:tr>
      <w:tr w14:paraId="1ACA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6E3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3421E3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B7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φ500*300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9F5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D61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CCB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2600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025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2600</w:t>
            </w:r>
          </w:p>
        </w:tc>
      </w:tr>
      <w:tr w14:paraId="7354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4E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14:paraId="5A7A6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球墨铸铁哈夫式三通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（适用于球墨铸铁管）</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ED2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φ500*500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53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7AA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FE4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4000 </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44D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4000</w:t>
            </w:r>
          </w:p>
        </w:tc>
      </w:tr>
      <w:tr w14:paraId="4586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1075F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最高限价</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43B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2157788</w:t>
            </w:r>
          </w:p>
        </w:tc>
      </w:tr>
      <w:tr w14:paraId="229B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7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6E0D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color w:val="auto"/>
                <w:spacing w:val="0"/>
                <w:w w:val="100"/>
                <w:kern w:val="21"/>
                <w:positio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备注：</w:t>
            </w:r>
            <w:r>
              <w:rPr>
                <w:rFonts w:hint="eastAsia" w:asciiTheme="minorEastAsia" w:hAnsiTheme="minorEastAsia" w:eastAsiaTheme="minorEastAsia" w:cstheme="minorEastAsia"/>
                <w:b w:val="0"/>
                <w:bCs w:val="0"/>
                <w:color w:val="auto"/>
                <w:spacing w:val="0"/>
                <w:w w:val="100"/>
                <w:kern w:val="21"/>
                <w:position w:val="0"/>
                <w:sz w:val="21"/>
                <w:szCs w:val="21"/>
                <w:highlight w:val="none"/>
                <w:lang w:val="en-US" w:eastAsia="zh-CN" w:bidi="ar-SA"/>
              </w:rPr>
              <w:t>1、投标人投标时单价不得超过上表中的单价，总价不得超过最高限价，否则按无效标处理。</w:t>
            </w:r>
          </w:p>
          <w:p w14:paraId="11BD3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上表计划采购数量为暂定数量，实际供货与结算时有可能发生变化，实际供货以招标人通知为准，结算时以实际供货数量为准。供货期内中标单价不予调整，投标人中标后不得以计划调整为由要求索赔或调整中标单价</w:t>
            </w:r>
            <w:r>
              <w:rPr>
                <w:rFonts w:hint="eastAsia" w:asciiTheme="minorEastAsia" w:hAnsiTheme="minorEastAsia" w:eastAsiaTheme="minorEastAsia" w:cstheme="minorEastAsia"/>
                <w:b w:val="0"/>
                <w:bCs w:val="0"/>
                <w:color w:val="auto"/>
                <w:spacing w:val="0"/>
                <w:w w:val="100"/>
                <w:kern w:val="21"/>
                <w:position w:val="0"/>
                <w:sz w:val="21"/>
                <w:szCs w:val="21"/>
                <w:highlight w:val="none"/>
                <w:lang w:val="en-US" w:eastAsia="zh-CN" w:bidi="ar-SA"/>
              </w:rPr>
              <w:t>。</w:t>
            </w:r>
          </w:p>
          <w:p w14:paraId="54339F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color w:val="auto"/>
                <w:spacing w:val="0"/>
                <w:w w:val="100"/>
                <w:kern w:val="21"/>
                <w:position w:val="0"/>
                <w:sz w:val="21"/>
                <w:szCs w:val="21"/>
                <w:highlight w:val="none"/>
                <w:lang w:val="en-US" w:eastAsia="zh-CN"/>
              </w:rPr>
              <w:t>3、货物供货时送检样品不计算在供货数量中，具体</w:t>
            </w:r>
            <w:r>
              <w:rPr>
                <w:rFonts w:hint="eastAsia" w:asciiTheme="minorEastAsia" w:hAnsiTheme="minorEastAsia" w:eastAsiaTheme="minorEastAsia" w:cstheme="minorEastAsia"/>
                <w:b w:val="0"/>
                <w:bCs w:val="0"/>
                <w:color w:val="auto"/>
                <w:spacing w:val="0"/>
                <w:w w:val="100"/>
                <w:kern w:val="21"/>
                <w:position w:val="0"/>
                <w:sz w:val="21"/>
                <w:szCs w:val="21"/>
                <w:highlight w:val="none"/>
                <w:lang w:val="en-US" w:eastAsia="zh-CN"/>
              </w:rPr>
              <w:t>抽检数量及检测内容</w:t>
            </w:r>
            <w:r>
              <w:rPr>
                <w:rFonts w:hint="eastAsia" w:asciiTheme="minorEastAsia" w:hAnsiTheme="minorEastAsia" w:eastAsiaTheme="minorEastAsia" w:cstheme="minorEastAsia"/>
                <w:b w:val="0"/>
                <w:bCs w:val="0"/>
                <w:color w:val="auto"/>
                <w:spacing w:val="0"/>
                <w:w w:val="100"/>
                <w:kern w:val="21"/>
                <w:position w:val="0"/>
                <w:sz w:val="21"/>
                <w:szCs w:val="21"/>
                <w:highlight w:val="none"/>
                <w:lang w:val="en-US" w:eastAsia="zh-CN"/>
              </w:rPr>
              <w:t>由招标人另行确定，</w:t>
            </w:r>
            <w:r>
              <w:rPr>
                <w:rFonts w:hint="eastAsia" w:asciiTheme="minorEastAsia" w:hAnsiTheme="minorEastAsia" w:eastAsiaTheme="minorEastAsia" w:cstheme="minorEastAsia"/>
                <w:b w:val="0"/>
                <w:bCs w:val="0"/>
                <w:color w:val="auto"/>
                <w:sz w:val="21"/>
                <w:szCs w:val="21"/>
                <w:highlight w:val="none"/>
                <w:lang w:val="en-US" w:eastAsia="zh-CN"/>
              </w:rPr>
              <w:t>请供应商在报价时考虑。</w:t>
            </w:r>
          </w:p>
        </w:tc>
      </w:tr>
    </w:tbl>
    <w:p w14:paraId="05C8840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jc w:val="both"/>
        <w:textAlignment w:val="auto"/>
        <w:outlineLvl w:val="9"/>
        <w:rPr>
          <w:rFonts w:hint="eastAsia" w:ascii="宋体" w:hAnsi="宋体" w:eastAsia="宋体" w:cs="宋体"/>
          <w:b/>
          <w:bCs/>
          <w:color w:val="auto"/>
          <w:spacing w:val="0"/>
          <w:w w:val="100"/>
          <w:kern w:val="21"/>
          <w:position w:val="0"/>
          <w:sz w:val="21"/>
          <w:szCs w:val="21"/>
          <w:highlight w:val="none"/>
          <w:lang w:val="en-US" w:eastAsia="zh-CN"/>
        </w:rPr>
      </w:pPr>
      <w:r>
        <w:rPr>
          <w:rFonts w:hint="eastAsia" w:ascii="宋体" w:hAnsi="宋体" w:cs="宋体"/>
          <w:b/>
          <w:bCs/>
          <w:color w:val="auto"/>
          <w:spacing w:val="0"/>
          <w:w w:val="100"/>
          <w:kern w:val="21"/>
          <w:position w:val="0"/>
          <w:sz w:val="21"/>
          <w:szCs w:val="21"/>
          <w:highlight w:val="none"/>
          <w:lang w:val="en-US" w:eastAsia="zh-CN"/>
        </w:rPr>
        <w:t>二、</w:t>
      </w:r>
      <w:r>
        <w:rPr>
          <w:rFonts w:hint="eastAsia" w:ascii="宋体" w:hAnsi="宋体" w:eastAsia="宋体" w:cs="宋体"/>
          <w:b/>
          <w:bCs/>
          <w:color w:val="auto"/>
          <w:spacing w:val="0"/>
          <w:w w:val="100"/>
          <w:kern w:val="21"/>
          <w:position w:val="0"/>
          <w:sz w:val="21"/>
          <w:szCs w:val="21"/>
          <w:highlight w:val="none"/>
        </w:rPr>
        <w:t>技术参数</w:t>
      </w:r>
      <w:r>
        <w:rPr>
          <w:rFonts w:hint="eastAsia" w:ascii="宋体" w:hAnsi="宋体" w:cs="宋体"/>
          <w:b/>
          <w:bCs/>
          <w:color w:val="auto"/>
          <w:spacing w:val="0"/>
          <w:w w:val="100"/>
          <w:kern w:val="21"/>
          <w:position w:val="0"/>
          <w:sz w:val="21"/>
          <w:szCs w:val="21"/>
          <w:highlight w:val="none"/>
          <w:lang w:val="en-US" w:eastAsia="zh-CN"/>
        </w:rPr>
        <w:t>要求</w:t>
      </w:r>
    </w:p>
    <w:p w14:paraId="12A6E843">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1、符合YB/T 4652-2018《管道用球墨铸铁修补器》标准；</w:t>
      </w:r>
    </w:p>
    <w:p w14:paraId="19521488">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2、哈夫的制造必须采用消失模或树脂砂工艺生产。</w:t>
      </w:r>
    </w:p>
    <w:p w14:paraId="1B063BD8">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3、所投哈夫节产品压力不得低于1.6MPa，不得发生渗漏现象。</w:t>
      </w:r>
    </w:p>
    <w:p w14:paraId="75F12B0B">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4、产品的密封圈与壳体的连接方式采用壳体和橡胶圈开槽、卡接的方式连接，橡胶直边两侧应有卡接沟槽，沟槽内侧有密封唇边。采用卡槽连接，避免了胶水对密封垫的老化作用，以及胶水对水体的二次污染，同时也避免了带压施工过程中密封垫容易位移和脱落的风险，可大大增加产品的抗水压冲击能力。</w:t>
      </w:r>
    </w:p>
    <w:p w14:paraId="6AB896DA">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5、壳体材质：产品主体材质为 QT450-10 球墨铸铁，并符合 GB/T1348-2019标准，或优于以上产品；</w:t>
      </w:r>
    </w:p>
    <w:p w14:paraId="773FC7CD">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6、橡胶密封件材质：密封圈材质为天然橡胶、三元乙丙或丁腈橡胶。物理性能应符合《橡胶密封件给、排水管及污水管道用接口密封圈材料规范》（GB/T21873-2008）标准；</w:t>
      </w:r>
    </w:p>
    <w:p w14:paraId="6840DB42">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7、紧固件：紧固件采用 8.8 级及以上高强度螺栓，须高耐腐蚀的发黑处理。螺栓性能等级达到 GB/T 3098.1-2010 中规定的 8.8 级以上，螺母性能等级达到 GB/T 3098.2-2015 中规定的 8 级以上。垫片符合 GB/T95-2002 标准；</w:t>
      </w:r>
    </w:p>
    <w:p w14:paraId="7B753D8B">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8、管卡法兰：管卡法兰应符合GB/T 17241.6-2008；整体铸造法兰要求PN10；</w:t>
      </w:r>
    </w:p>
    <w:p w14:paraId="7876FE26">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9、涂层：产品必须做内外防腐，涂覆采用环氧树脂粉末静电喷涂，产品铸件在经过内外表面抛丸清砂后，清理掉铸件内外表面油锈、水份、等杂质，再进行环氧树脂粉末喷涂，喷涂总厚度不低于 200 微米。涂层固化后不溶解于水，不影响水质，且不因空气、温度变化而发生异状，具有良好的抗腐蚀和抗污垢性，不产生二次污染。产品内外涂覆材料具有国家卫生部颁发的卫生许可证，不含有任何对供水水质有害的物质。防腐材质应符合国家GB/T7219-1998《生活饮用水输配水设备及防护材料的安全性评价标准》要求。</w:t>
      </w:r>
    </w:p>
    <w:p w14:paraId="6941854A">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10、密封性能：产品应满足在不低于 1.6 Pa 水压下试压检验，稳压时间不少于1min，无渗漏且壳体无结构性损伤。</w:t>
      </w:r>
    </w:p>
    <w:p w14:paraId="6233447E">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11、泄压孔：哈夫节产品应设有与其规格相匹配的排水口（DN300-DN1000 排水口不小于 DN50， DN40-DN200 排水口不小于 DN25），保证使用时排水顺畅；</w:t>
      </w:r>
    </w:p>
    <w:p w14:paraId="122A438D">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12、外观：产品外观表面光滑平整，无气孔、针眼、气泡、裂纹等显著性缺陷，产品铸件壳体上铸有品牌、规格型号等永久性的清晰标志；</w:t>
      </w:r>
    </w:p>
    <w:p w14:paraId="375AF40C">
      <w:pPr>
        <w:pStyle w:val="40"/>
        <w:keepNext w:val="0"/>
        <w:keepLines w:val="0"/>
        <w:pageBreakBefore w:val="0"/>
        <w:widowControl w:val="0"/>
        <w:numPr>
          <w:ilvl w:val="0"/>
          <w:numId w:val="0"/>
        </w:numPr>
        <w:tabs>
          <w:tab w:val="left" w:pos="2082"/>
        </w:tabs>
        <w:kinsoku/>
        <w:wordWrap/>
        <w:overflowPunct/>
        <w:topLinePunct w:val="0"/>
        <w:autoSpaceDE w:val="0"/>
        <w:autoSpaceDN w:val="0"/>
        <w:bidi w:val="0"/>
        <w:adjustRightInd/>
        <w:snapToGrid/>
        <w:spacing w:line="420" w:lineRule="exact"/>
        <w:ind w:left="0" w:right="0" w:rightChars="0" w:firstLine="420" w:firstLineChars="200"/>
        <w:jc w:val="both"/>
        <w:textAlignment w:val="auto"/>
        <w:outlineLvl w:val="9"/>
        <w:rPr>
          <w:rFonts w:hint="eastAsia" w:ascii="宋体" w:hAnsi="宋体" w:eastAsia="宋体" w:cs="宋体"/>
          <w:color w:val="auto"/>
          <w:spacing w:val="0"/>
          <w:w w:val="100"/>
          <w:kern w:val="21"/>
          <w:position w:val="0"/>
          <w:sz w:val="21"/>
          <w:szCs w:val="21"/>
          <w:highlight w:val="none"/>
          <w:lang w:val="en-US" w:eastAsia="zh-CN"/>
        </w:rPr>
      </w:pPr>
      <w:r>
        <w:rPr>
          <w:rFonts w:hint="eastAsia" w:ascii="宋体" w:hAnsi="宋体" w:eastAsia="宋体" w:cs="宋体"/>
          <w:color w:val="auto"/>
          <w:spacing w:val="0"/>
          <w:w w:val="100"/>
          <w:kern w:val="21"/>
          <w:position w:val="0"/>
          <w:sz w:val="21"/>
          <w:szCs w:val="21"/>
          <w:highlight w:val="none"/>
          <w:lang w:val="en-US" w:eastAsia="zh-CN"/>
        </w:rPr>
        <w:t>13、卫生性能：产品卫生性能符合GB/T7219-1998《生活饮用水输配水设备及防护材料的安全性 评价标准》的规定</w:t>
      </w:r>
      <w:r>
        <w:rPr>
          <w:rFonts w:hint="eastAsia" w:cs="宋体"/>
          <w:color w:val="auto"/>
          <w:spacing w:val="0"/>
          <w:w w:val="100"/>
          <w:kern w:val="21"/>
          <w:position w:val="0"/>
          <w:sz w:val="21"/>
          <w:szCs w:val="21"/>
          <w:highlight w:val="none"/>
          <w:lang w:val="en-US" w:eastAsia="zh-CN"/>
        </w:rPr>
        <w:t>。</w:t>
      </w:r>
    </w:p>
    <w:p w14:paraId="4F31B434">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、其他要求：</w:t>
      </w:r>
    </w:p>
    <w:p w14:paraId="3438889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1、（1）供货方所供所有货物应符合国家现行相关标准的要求，质量合格。</w:t>
      </w:r>
    </w:p>
    <w:p w14:paraId="7A4DF8E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（2）供货方应按标准进行试验，并每批提供试验报告，费用含在单价中。</w:t>
      </w:r>
    </w:p>
    <w:p w14:paraId="73741FB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（3）本次采购产品必须执行现行国家、行业现行相关强制性标准，无国家、行业强制性标准的执行地方、企业标准；产品质量需合格，并满足招标文件的要求。</w:t>
      </w:r>
    </w:p>
    <w:p w14:paraId="6DE0470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2、质量要求：</w:t>
      </w:r>
    </w:p>
    <w:p w14:paraId="4857C30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（1）所有货物必须满足现行国家强制标准和行业标准。不满足标准和要求的货物招标人有权拒收。</w:t>
      </w:r>
    </w:p>
    <w:p w14:paraId="58C2D13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（2）供货时需提供生产厂家合格证及其他相关的资料。</w:t>
      </w:r>
    </w:p>
    <w:p w14:paraId="753EEE8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提供的货物应是全新、原装的正宗合格正品，完全符合国家规定的质量标准，供货时必须具有有资质的单位出具的产品质量检验报告。供货时间必须按照要求完成，否则，按相应法律处理并扣除履约保证金。</w:t>
      </w:r>
    </w:p>
    <w:p w14:paraId="712BB88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（4）本招标文件的所有要求,作为验收产品合格标准的依据。中标后将严格按照招标文件要求进行服务。</w:t>
      </w:r>
    </w:p>
    <w:p w14:paraId="7648F97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（5）产品质保期为</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lang w:val="en-US" w:eastAsia="zh-CN"/>
        </w:rPr>
        <w:t>年。</w:t>
      </w:r>
    </w:p>
    <w:p w14:paraId="2863A77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3、售后服务要求</w:t>
      </w:r>
    </w:p>
    <w:p w14:paraId="1142D4B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在安装过程中，中标单位应委派专业人员在现场给予指导及技术配合。在</w:t>
      </w:r>
      <w:r>
        <w:rPr>
          <w:rFonts w:hint="eastAsia" w:ascii="宋体" w:hAnsi="宋体" w:cs="宋体"/>
          <w:color w:val="auto"/>
          <w:sz w:val="21"/>
          <w:szCs w:val="21"/>
          <w:highlight w:val="none"/>
          <w:lang w:val="en-US" w:eastAsia="zh-CN"/>
        </w:rPr>
        <w:t>质保期</w:t>
      </w:r>
      <w:r>
        <w:rPr>
          <w:rFonts w:hint="eastAsia" w:ascii="宋体" w:hAnsi="宋体" w:eastAsia="宋体" w:cs="宋体"/>
          <w:color w:val="auto"/>
          <w:sz w:val="21"/>
          <w:szCs w:val="21"/>
          <w:highlight w:val="none"/>
          <w:lang w:val="en-US" w:eastAsia="zh-CN"/>
        </w:rPr>
        <w:t>内，接到招标人报修电话后，供应商应在24小时内上门服务</w:t>
      </w:r>
      <w:r>
        <w:rPr>
          <w:rFonts w:hint="eastAsia" w:ascii="宋体" w:hAnsi="宋体" w:eastAsia="宋体" w:cs="宋体"/>
          <w:color w:val="auto"/>
          <w:sz w:val="21"/>
          <w:szCs w:val="21"/>
          <w:highlight w:val="none"/>
          <w:lang w:val="en-US" w:eastAsia="zh-CN"/>
        </w:rPr>
        <w:t>（投标时提供其他承诺的以承诺为准）。未按要求提供售后服务的质量保证金不予支付。</w:t>
      </w:r>
      <w:r>
        <w:rPr>
          <w:rFonts w:hint="eastAsia" w:ascii="宋体" w:hAnsi="宋体" w:eastAsia="宋体" w:cs="宋体"/>
          <w:color w:val="auto"/>
          <w:sz w:val="21"/>
          <w:szCs w:val="21"/>
          <w:highlight w:val="none"/>
          <w:lang w:val="en-US" w:eastAsia="zh-CN"/>
        </w:rPr>
        <w:t>。</w:t>
      </w:r>
    </w:p>
    <w:p w14:paraId="2D7D3BB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4、商务要求</w:t>
      </w:r>
    </w:p>
    <w:p w14:paraId="2E1BAC4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（1）货物的生产、安装、维修、检验、验收等按照以下原则执行：有国家标准的执行国家标准；无国家标准的执行行业标准；无行业标准的执行地方标准；无地方标准的执行企业标准。</w:t>
      </w:r>
    </w:p>
    <w:p w14:paraId="7EA0EAE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43D184B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厂家出具的合格证书供货时提供)</w:t>
      </w:r>
    </w:p>
    <w:p w14:paraId="22C2CB3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（4）技术支持</w:t>
      </w:r>
    </w:p>
    <w:p w14:paraId="304A709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1、中标人应向招标人提供全方位、及时而有效的技术支持和服务。</w:t>
      </w:r>
    </w:p>
    <w:p w14:paraId="4538477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2、中标人负责供货。</w:t>
      </w:r>
    </w:p>
    <w:p w14:paraId="52D10B9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负责将货物的全部有关技术文件（外文应提供中文翻译资料，下同）、施工图纸、资料、测试、验收报告等汇集成册交付招标人，涉及进口的产品或部件配件软件等须提供中国海关进口货物报关单、完税证明及商检证明等材料。</w:t>
      </w:r>
    </w:p>
    <w:p w14:paraId="4884AFC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（5）质保：</w:t>
      </w:r>
    </w:p>
    <w:p w14:paraId="270BEC4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1、质保要求按照国家规定，所有质保费用均已包含在投标报价中，质保期满后，应提供优先的有偿售后服务及按不高于投标文件中主要配件、易损件清单所报价格供应原厂零配件等。</w:t>
      </w:r>
    </w:p>
    <w:p w14:paraId="6720C14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2、中标人须设有维修服务电话，负责解答用户在货物使用中遇到的问题，及时提出解决问题的建议和操作方法。</w:t>
      </w:r>
    </w:p>
    <w:p w14:paraId="23F35EF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（六）计划供货期限：供货期暂定365日历天（供货期内按招标人需求分批次供货，接到招标人每批次供货需求后7日历天内交付至招标人指定地点）。</w:t>
      </w:r>
    </w:p>
    <w:p w14:paraId="6FB9341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（七）交货地点：定远县境内指定交货地点</w:t>
      </w:r>
    </w:p>
    <w:p w14:paraId="142743C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（八）验收：</w:t>
      </w:r>
    </w:p>
    <w:p w14:paraId="058D8E6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w:t>
      </w:r>
    </w:p>
    <w:p w14:paraId="02BD8EE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2、货物在验收时，投标人应提供发票、制造厂家出具的产品合格证书、装箱清单等,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bookmarkEnd w:id="64"/>
    <w:bookmarkEnd w:id="65"/>
    <w:bookmarkEnd w:id="80"/>
    <w:bookmarkEnd w:id="81"/>
    <w:bookmarkEnd w:id="82"/>
    <w:bookmarkEnd w:id="83"/>
    <w:p w14:paraId="2330BFC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color w:val="auto"/>
          <w:highlight w:val="none"/>
          <w:lang w:val="en-US" w:eastAsia="zh-CN"/>
        </w:rPr>
        <w:sectPr>
          <w:footnotePr>
            <w:pos w:val="beneathText"/>
          </w:footnotePr>
          <w:pgSz w:w="11906" w:h="16838"/>
          <w:pgMar w:top="1440" w:right="1066" w:bottom="1440" w:left="1380" w:header="851" w:footer="992" w:gutter="0"/>
          <w:pgNumType w:fmt="decimal"/>
          <w:cols w:space="720" w:num="1"/>
          <w:docGrid w:type="lines" w:linePitch="312" w:charSpace="0"/>
        </w:sectPr>
      </w:pPr>
      <w:bookmarkStart w:id="86" w:name="_Toc449028945"/>
      <w:bookmarkStart w:id="87" w:name="_Toc9445"/>
      <w:bookmarkStart w:id="88" w:name="_Toc7415"/>
      <w:bookmarkStart w:id="89" w:name="_Toc58430329"/>
    </w:p>
    <w:p w14:paraId="6AF7A36B">
      <w:pPr>
        <w:pStyle w:val="5"/>
        <w:pageBreakBefore w:val="0"/>
        <w:numPr>
          <w:ilvl w:val="0"/>
          <w:numId w:val="0"/>
        </w:numPr>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宋体"/>
          <w:b/>
          <w:color w:val="auto"/>
          <w:sz w:val="28"/>
          <w:szCs w:val="28"/>
          <w:highlight w:val="none"/>
          <w:lang w:val="en-US" w:eastAsia="zh-CN"/>
        </w:rPr>
      </w:pPr>
      <w:bookmarkStart w:id="90" w:name="_Toc9754"/>
      <w:r>
        <w:rPr>
          <w:rFonts w:hint="eastAsia" w:ascii="宋体"/>
          <w:b/>
          <w:color w:val="auto"/>
          <w:sz w:val="28"/>
          <w:szCs w:val="28"/>
          <w:highlight w:val="none"/>
          <w:lang w:val="en-US" w:eastAsia="zh-CN"/>
        </w:rPr>
        <w:t>第五章 合同条款及格式</w:t>
      </w:r>
      <w:bookmarkEnd w:id="86"/>
      <w:bookmarkEnd w:id="87"/>
      <w:bookmarkEnd w:id="88"/>
      <w:bookmarkEnd w:id="89"/>
      <w:bookmarkEnd w:id="90"/>
    </w:p>
    <w:p w14:paraId="352F229F">
      <w:pPr>
        <w:spacing w:line="360" w:lineRule="exact"/>
        <w:jc w:val="left"/>
        <w:outlineLvl w:val="9"/>
        <w:rPr>
          <w:rFonts w:hint="eastAsia" w:ascii="宋体" w:hAnsi="宋体" w:cs="宋体"/>
          <w:color w:val="auto"/>
          <w:sz w:val="24"/>
          <w:highlight w:val="none"/>
        </w:rPr>
      </w:pPr>
      <w:r>
        <w:rPr>
          <w:rFonts w:hint="eastAsia" w:ascii="宋体" w:hAnsi="宋体" w:cs="宋体"/>
          <w:color w:val="auto"/>
          <w:sz w:val="24"/>
          <w:highlight w:val="none"/>
        </w:rPr>
        <w:t>买方：                                        电   话：</w:t>
      </w:r>
    </w:p>
    <w:p w14:paraId="116A84D9">
      <w:pPr>
        <w:spacing w:line="360" w:lineRule="exact"/>
        <w:jc w:val="left"/>
        <w:outlineLvl w:val="9"/>
        <w:rPr>
          <w:rFonts w:hint="eastAsia" w:ascii="宋体" w:hAnsi="宋体" w:cs="宋体"/>
          <w:color w:val="auto"/>
          <w:sz w:val="24"/>
          <w:highlight w:val="none"/>
        </w:rPr>
      </w:pPr>
      <w:r>
        <w:rPr>
          <w:rFonts w:hint="eastAsia" w:ascii="宋体" w:hAnsi="宋体" w:cs="宋体"/>
          <w:color w:val="auto"/>
          <w:sz w:val="24"/>
          <w:highlight w:val="none"/>
        </w:rPr>
        <w:t>卖方：                                        电   话：</w:t>
      </w:r>
    </w:p>
    <w:p w14:paraId="724D1EC5">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买方通过公开招标，决定将</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项目名称）采购合同授予卖方。为进一步明确责任，确保合同的顺利履行，买卖双方商定同意按如下条款和条件签订本合同：</w:t>
      </w:r>
    </w:p>
    <w:p w14:paraId="4EEB6261">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1、货物的名称、技术规格和数量</w:t>
      </w:r>
    </w:p>
    <w:p w14:paraId="7F0EFB40">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本合同所采购货物的名称、技术规格和数量在卖方投标书中有明确规定。</w:t>
      </w:r>
    </w:p>
    <w:p w14:paraId="21E43F30">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2、合同文件内容</w:t>
      </w:r>
    </w:p>
    <w:p w14:paraId="7FEE3C3A">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以下文件是合同不可分割的部分：</w:t>
      </w:r>
    </w:p>
    <w:p w14:paraId="20AEF01E">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（1）本项目</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中合同条款及前附表（包括通用条款和特殊条款）；</w:t>
      </w:r>
    </w:p>
    <w:p w14:paraId="1C108ACF">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说明函；</w:t>
      </w:r>
    </w:p>
    <w:p w14:paraId="6D608670">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（3）卖方提交的投标书；</w:t>
      </w:r>
    </w:p>
    <w:p w14:paraId="650B69E7">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（4）中标通知书；</w:t>
      </w:r>
    </w:p>
    <w:p w14:paraId="34BEE065">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（5）本合同的补充协议（如果有的话）；</w:t>
      </w:r>
    </w:p>
    <w:p w14:paraId="23DC04D9">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及有关补遗答疑中有关规定。</w:t>
      </w:r>
    </w:p>
    <w:p w14:paraId="66BFA95E">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3、合同金额</w:t>
      </w:r>
    </w:p>
    <w:p w14:paraId="1B4FAE64">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的要求和卖方承诺，本合同的总金额为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），分项价格在卖方投标书的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分项报价清单</w:t>
      </w:r>
      <w:r>
        <w:rPr>
          <w:rFonts w:hint="eastAsia" w:ascii="宋体" w:hAnsi="宋体" w:cs="宋体"/>
          <w:color w:val="auto"/>
          <w:sz w:val="24"/>
          <w:highlight w:val="none"/>
          <w:lang w:eastAsia="zh-CN"/>
        </w:rPr>
        <w:t>”</w:t>
      </w:r>
      <w:r>
        <w:rPr>
          <w:rFonts w:hint="eastAsia" w:ascii="宋体" w:hAnsi="宋体" w:cs="宋体"/>
          <w:color w:val="auto"/>
          <w:sz w:val="24"/>
          <w:highlight w:val="none"/>
        </w:rPr>
        <w:t>中有明确规定。</w:t>
      </w:r>
    </w:p>
    <w:p w14:paraId="50F1B672">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4、付款条件</w:t>
      </w:r>
    </w:p>
    <w:p w14:paraId="29410F86">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每批次货物进场经验收并抽检送检合格后支付至本批次货款的98%，剩余2%作为质保金，待质保期满后一次性无息付清。质保金支持保函（银行保函、担保机构担保、保证保险）使用。质保金采用保函的不再从货款中扣留质保金，保函有效期须与质保期截止时间保持一致。</w:t>
      </w:r>
    </w:p>
    <w:p w14:paraId="37844246">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合同履行期限</w:t>
      </w:r>
    </w:p>
    <w:p w14:paraId="082B113C">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供货期暂定365日历天（供货期内按买方需求分批次供货，接到买方每批次供货需求后7日历天内交付至买方指定地点）</w:t>
      </w:r>
      <w:r>
        <w:rPr>
          <w:rFonts w:hint="eastAsia" w:ascii="宋体" w:hAnsi="宋体" w:cs="宋体"/>
          <w:color w:val="auto"/>
          <w:sz w:val="24"/>
          <w:highlight w:val="none"/>
        </w:rPr>
        <w:t>。</w:t>
      </w:r>
    </w:p>
    <w:p w14:paraId="33EB700A">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6、本合同一式</w:t>
      </w:r>
      <w:r>
        <w:rPr>
          <w:rFonts w:hint="eastAsia" w:ascii="宋体" w:hAnsi="宋体" w:cs="宋体"/>
          <w:color w:val="auto"/>
          <w:sz w:val="24"/>
          <w:highlight w:val="none"/>
          <w:lang w:val="en-US" w:eastAsia="zh-CN"/>
        </w:rPr>
        <w:t>柒</w:t>
      </w:r>
      <w:r>
        <w:rPr>
          <w:rFonts w:hint="eastAsia" w:ascii="宋体" w:hAnsi="宋体" w:cs="宋体"/>
          <w:color w:val="auto"/>
          <w:sz w:val="24"/>
          <w:highlight w:val="none"/>
        </w:rPr>
        <w:t>份，经买卖双方授权代表签字盖章、并在卖方提交的履约保证金后立即生效。履约保证金数额为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）。履约保证金将在项目验收合格后一次性无息退还。</w:t>
      </w:r>
    </w:p>
    <w:p w14:paraId="4CFF5A2C">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买  方：                               卖  方：</w:t>
      </w:r>
    </w:p>
    <w:p w14:paraId="0A7A8500">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单位盖章：                             单位盖章：</w:t>
      </w:r>
    </w:p>
    <w:p w14:paraId="320207B5">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法定代表人或授权代表签字：             法定代表人或授权代表签字：</w:t>
      </w:r>
    </w:p>
    <w:p w14:paraId="58497F30">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    期：    年  月  日               日    期：   年   月   日</w:t>
      </w:r>
    </w:p>
    <w:p w14:paraId="05DAF8D3">
      <w:pPr>
        <w:spacing w:line="360" w:lineRule="exact"/>
        <w:jc w:val="center"/>
        <w:outlineLvl w:val="9"/>
        <w:rPr>
          <w:rFonts w:hint="eastAsia" w:ascii="宋体" w:hAnsi="宋体" w:cs="宋体"/>
          <w:color w:val="auto"/>
          <w:sz w:val="28"/>
          <w:szCs w:val="28"/>
          <w:highlight w:val="none"/>
        </w:rPr>
      </w:pPr>
      <w:bookmarkStart w:id="91" w:name="_Toc1779"/>
      <w:r>
        <w:rPr>
          <w:rFonts w:hint="eastAsia" w:ascii="宋体" w:hAnsi="宋体" w:eastAsia="宋体" w:cs="宋体"/>
          <w:b/>
          <w:color w:val="auto"/>
          <w:kern w:val="0"/>
          <w:sz w:val="24"/>
          <w:szCs w:val="20"/>
          <w:highlight w:val="none"/>
          <w:lang w:val="en-US" w:eastAsia="zh-CN" w:bidi="ar-SA"/>
        </w:rPr>
        <w:br w:type="page"/>
      </w:r>
      <w:bookmarkStart w:id="92" w:name="_Toc16033"/>
      <w:r>
        <w:rPr>
          <w:rFonts w:hint="eastAsia" w:ascii="宋体" w:hAnsi="宋体" w:eastAsia="宋体" w:cs="宋体"/>
          <w:b/>
          <w:color w:val="auto"/>
          <w:kern w:val="0"/>
          <w:sz w:val="24"/>
          <w:szCs w:val="24"/>
          <w:highlight w:val="none"/>
          <w:lang w:val="en-US" w:eastAsia="zh-CN" w:bidi="ar-SA"/>
        </w:rPr>
        <w:t>二、合同的一般条款</w:t>
      </w:r>
      <w:bookmarkEnd w:id="91"/>
      <w:bookmarkEnd w:id="92"/>
    </w:p>
    <w:p w14:paraId="6E286ECC">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一、合同的一般条款</w:t>
      </w:r>
    </w:p>
    <w:p w14:paraId="6C58CF00">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w:t>
      </w:r>
    </w:p>
    <w:p w14:paraId="08E66630">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合同文件适用法律</w:t>
      </w:r>
    </w:p>
    <w:p w14:paraId="198C1DF2">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适用于合同文件的法律是中华人民共和国现行法律、法规及采购人所在地的地方性法规。</w:t>
      </w:r>
    </w:p>
    <w:p w14:paraId="7CC64E9E">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合同文件组成和解释顺序</w:t>
      </w:r>
    </w:p>
    <w:p w14:paraId="38F46963">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合同文件的组成和解释顺序如下：</w:t>
      </w:r>
    </w:p>
    <w:p w14:paraId="30B19354">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合同的主要条款；</w:t>
      </w:r>
    </w:p>
    <w:p w14:paraId="7745391A">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合同的一般性条款；</w:t>
      </w:r>
    </w:p>
    <w:p w14:paraId="0812BC76">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洽商、变更等明确双方权利义务的纪要、协议；</w:t>
      </w:r>
    </w:p>
    <w:p w14:paraId="0DB3D974">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中标通知书、投标书和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49363382">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有关图纸、标准、规范和其它有关技术资料、技术要求。</w:t>
      </w:r>
    </w:p>
    <w:p w14:paraId="653A7077">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合同的主要条款的效力优于合同的一般性条款的效力。</w:t>
      </w:r>
    </w:p>
    <w:p w14:paraId="5473330F">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合同文件使用文字</w:t>
      </w:r>
    </w:p>
    <w:p w14:paraId="6CD88F8D">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合同文件使用中文书写、解释和说明。</w:t>
      </w:r>
    </w:p>
    <w:p w14:paraId="79456FD1">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合同文件使用技术性条款约定的为国家标准和规范；国家没有相应标准、规范时，可使用行业标准、规范。非标货物应按约定的技术性条款的标准和规范。 </w:t>
      </w:r>
    </w:p>
    <w:p w14:paraId="3B573956">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（二）标的物的一般条款</w:t>
      </w:r>
    </w:p>
    <w:p w14:paraId="34E09522">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完整物权</w:t>
      </w:r>
    </w:p>
    <w:p w14:paraId="4B30ADFE">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68DE890D">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质量保证</w:t>
      </w:r>
    </w:p>
    <w:p w14:paraId="67C5A4F8">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78B94B1E">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230B6D8F">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除合同主要条款规定外，合同条款中标的物的质量保证期均自标的物通过最终验收之日起计算，且质量保证期按不低于国家标准和卖方承诺的高于国家标准的质保期（卖方有特殊要求的除外）。</w:t>
      </w:r>
    </w:p>
    <w:p w14:paraId="077C7A07">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包装</w:t>
      </w:r>
    </w:p>
    <w:p w14:paraId="11EA0400">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FCD36DF">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伴随服务</w:t>
      </w:r>
    </w:p>
    <w:p w14:paraId="7618C4C5">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卖方除应履行按期按量交付合格标的物的义务之外，还应提供下列服务：</w:t>
      </w:r>
    </w:p>
    <w:p w14:paraId="32275749">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标的物的现场安装或指导安装、启动、调试、监督（如果必须安装、调试的话）；</w:t>
      </w:r>
    </w:p>
    <w:p w14:paraId="42A9B4B6">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提供标的物组装和一般维修所必须的工具；</w:t>
      </w:r>
    </w:p>
    <w:p w14:paraId="084F52D6">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在合同规定的期限内对所提供标的物实行运行监督、维修服务的前提条件是该服务并不能免除卖方在质量保证期内所承担的义务；</w:t>
      </w:r>
    </w:p>
    <w:p w14:paraId="04661E40">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对买方技术人员的技术指导或培训。</w:t>
      </w:r>
    </w:p>
    <w:p w14:paraId="411EEE77">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除合同另有规定之外，伴随服务的费用均已含在合同价款中，买方不再另行进行支付。</w:t>
      </w:r>
    </w:p>
    <w:p w14:paraId="07C489C0">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（三）标的物的交付、检验和验收</w:t>
      </w:r>
    </w:p>
    <w:p w14:paraId="654F5831">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标的物的交付</w:t>
      </w:r>
    </w:p>
    <w:p w14:paraId="7C4AC80B">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标的物的所有权自标的物交付时转移。</w:t>
      </w:r>
    </w:p>
    <w:p w14:paraId="36F0FB9D">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卖方应当按照约定的期限和约定的地点交付标的物。</w:t>
      </w:r>
    </w:p>
    <w:p w14:paraId="21E407FA">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卖方应当按照约定或者交易习惯向采购人交付提取标的物单证以外的有关单证和资料。</w:t>
      </w:r>
    </w:p>
    <w:p w14:paraId="78F4524D">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检验和验收</w:t>
      </w:r>
    </w:p>
    <w:p w14:paraId="44F0D189">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在交货时，卖方应配合买方对标的物的质量、规格、性能、数量等进行详细而全面的检验，并出具一份合格检验证明，合格检验证明作为验收的依据，但不能作为有关标的物质量、规格、数量或性能的最终检验结果。</w:t>
      </w:r>
    </w:p>
    <w:p w14:paraId="188C19EB">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买方根据合同规定的内容和验收标准进行验收，经检验无误后出具验收合格证明，该证明作为最终付款所需文件的组成部分。</w:t>
      </w:r>
    </w:p>
    <w:p w14:paraId="75B0600D">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验收期限自标的物交付之日起三十天内。特殊情况需延长的，双方应在合同条款中约定。</w:t>
      </w:r>
    </w:p>
    <w:p w14:paraId="355119A2">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（四）对标的物提出异议的时间和办法</w:t>
      </w:r>
    </w:p>
    <w:p w14:paraId="2C2CFA41">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对标的物提出异议的时间和办法 </w:t>
      </w:r>
    </w:p>
    <w:p w14:paraId="7C87A780">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买方在验收过程中，应当于双方约定的检验期间内将标的物的数量或质量不符合约定的情形及处理方式以书面形式通知卖方。</w:t>
      </w:r>
    </w:p>
    <w:p w14:paraId="166394EC">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如买方在验收期满后既不出具验收合格证明又未提出书面异议的视为卖方所交标的物符合合同规定。</w:t>
      </w:r>
    </w:p>
    <w:p w14:paraId="6D0511D3">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卖方应在收到买方书面异议后七天内负责处理问题，否则将视为默认买方提出的异议和处理意见。</w:t>
      </w:r>
    </w:p>
    <w:p w14:paraId="0F04E600">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（五）合同价款和支付</w:t>
      </w:r>
    </w:p>
    <w:p w14:paraId="295C52EC">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合同价款和支付</w:t>
      </w:r>
    </w:p>
    <w:p w14:paraId="758FB572">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本合同的结算货币为人民币，单位元。</w:t>
      </w:r>
    </w:p>
    <w:p w14:paraId="03650B10">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卖方应按照双方签订的合同规定交货并在合同主要条款规定的期限内持下列单据结算货款：</w:t>
      </w:r>
    </w:p>
    <w:p w14:paraId="25DD5016">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 合格的销售发票；</w:t>
      </w:r>
    </w:p>
    <w:p w14:paraId="24D22556">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买方盖章签收后的送货回单和验收合格证明。</w:t>
      </w:r>
    </w:p>
    <w:p w14:paraId="1DAC9479">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买方应按合同主要条款规定的期限和方式付款。</w:t>
      </w:r>
    </w:p>
    <w:p w14:paraId="735D2C1C">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根据现行税法对买方征收的与本合同有关的一切税费均由买方承担；根据现行税法对卖方征收的与本合同有关的一切税费均由卖方承担。</w:t>
      </w:r>
    </w:p>
    <w:p w14:paraId="1138A626">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（六）违约责任</w:t>
      </w:r>
    </w:p>
    <w:p w14:paraId="6335A22B">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违约责任</w:t>
      </w:r>
    </w:p>
    <w:p w14:paraId="5250A0F0">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合同一方不履行合同义务或者履行合同义务不符合约定的，应当承担继续履行、采取补救措施或者赔偿损失等违约责任。</w:t>
      </w:r>
    </w:p>
    <w:p w14:paraId="323A6476">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买方违约责任</w:t>
      </w:r>
    </w:p>
    <w:p w14:paraId="4E2FC5F9">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在合同生效后，买方要求退货的，应向卖方偿付合同总价款的5%，作为违约金，违约金不足以补偿损失的，卖方有权要求甲方补足。</w:t>
      </w:r>
    </w:p>
    <w:p w14:paraId="7788B312">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买方违反合同规定，拒绝接收卖方交付的合格标的物，应当承担卖方由此造成的损失。</w:t>
      </w:r>
    </w:p>
    <w:p w14:paraId="4C077663">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卖方违约责任</w:t>
      </w:r>
    </w:p>
    <w:p w14:paraId="2BE06BB4">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13.1卖方延误供货期（服务期）的，每天处罚1000元，结算时从货款中扣除。</w:t>
      </w:r>
    </w:p>
    <w:p w14:paraId="10F6DA3C">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13.2供货期（服务期）延误超过10天的，买方有权解除合同并追究卖方相关责任。</w:t>
      </w:r>
    </w:p>
    <w:p w14:paraId="3A58A847">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不可抗力</w:t>
      </w:r>
    </w:p>
    <w:p w14:paraId="6FBEDD79">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因水灾、火灾、地震、战争等不可抗力不能履行合同的，根据不可抗力的影响，部分或者全部免除责任。但合同一方迟延履行后发生不可抗力的，不能免除责任。</w:t>
      </w:r>
    </w:p>
    <w:p w14:paraId="3CE63C98">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合同一方因不可抗力不能履行合同的，应当及时通知对方，以减轻可能给对方造成的损失，并应当在合理期限内提供证明。</w:t>
      </w:r>
    </w:p>
    <w:p w14:paraId="40DE2FBF">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（七）索赔</w:t>
      </w:r>
    </w:p>
    <w:p w14:paraId="171B92D0">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索赔</w:t>
      </w:r>
    </w:p>
    <w:p w14:paraId="24803A17">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买方有权根据当地产品质量检验机构或其它权威部门出具的检验证书向卖方提出索赔。</w:t>
      </w:r>
    </w:p>
    <w:p w14:paraId="79992452">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在本合同规定的检验期和质量保证期内，如果卖方对买方提出的索赔或差异有责任，则卖方应按买方同意的下列一种或多种方式解决索赔事宜：</w:t>
      </w:r>
    </w:p>
    <w:p w14:paraId="6F75461A">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  卖方同意退货，并按合同规定的货币将货款退还给买方，并承担由此发生的一切损失和费用，包括利息、银行手续费、运费、保险费、检验费、仓储费、装卸费以及为保护退回标的物所需的其它必要费用；</w:t>
      </w:r>
    </w:p>
    <w:p w14:paraId="38D10638">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15.2.2  根据标的物的低劣程度、损坏程度以及甲方遭受损失的数额，经双方协商确定降低标的物的价格；</w:t>
      </w:r>
    </w:p>
    <w:p w14:paraId="17D4B424">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15.2.3  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91FB2F1">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3B57D627">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（八）履约保证金</w:t>
      </w:r>
    </w:p>
    <w:p w14:paraId="0094701E">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履约保证金</w:t>
      </w:r>
    </w:p>
    <w:p w14:paraId="0DC04AAD">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卖方应在本合同签订时，按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的约定提供相应的履约保证金，保证金的有效期应不低于合同有效期。</w:t>
      </w:r>
    </w:p>
    <w:p w14:paraId="31E5A4ED">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如果卖方未能履行合同规定的任何义务，买方有权从履约保证金中取得补偿。</w:t>
      </w:r>
    </w:p>
    <w:p w14:paraId="6B2FAD9B">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履约保证金（无息）将在卖方履行完合同义务，履约保证金在全部货到并经验收合格后退还，不计息。</w:t>
      </w:r>
    </w:p>
    <w:p w14:paraId="2D3939E8">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（九）合同的解除和转让</w:t>
      </w:r>
    </w:p>
    <w:p w14:paraId="54F599EC">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合同的解除</w:t>
      </w:r>
    </w:p>
    <w:p w14:paraId="113350F3">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买方和卖方协商一致，可以解除合同。</w:t>
      </w:r>
    </w:p>
    <w:p w14:paraId="1A94B22F">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有下列情形之一，合同一方可以解除合同：</w:t>
      </w:r>
    </w:p>
    <w:p w14:paraId="0C3E0D91">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  因不可抗力致使不能实现合同目的，未受不可抗力影响的一方有权解除合同；</w:t>
      </w:r>
    </w:p>
    <w:p w14:paraId="35FE5C1E">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  因合同一方违约导致合同不能履行，另一方有权解除合同。</w:t>
      </w:r>
    </w:p>
    <w:p w14:paraId="2825610C">
      <w:pPr>
        <w:pStyle w:val="8"/>
        <w:keepNext w:val="0"/>
        <w:keepLines w:val="0"/>
        <w:pageBreakBefore w:val="0"/>
        <w:widowControl w:val="0"/>
        <w:kinsoku/>
        <w:wordWrap/>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有权解除合同的一方，应当在违约事实或不可抗力发生之后三十天内书面通知对方以主张解除合同，合同在书面通知到达对方时解除。</w:t>
      </w:r>
    </w:p>
    <w:p w14:paraId="514E887E">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合同的转让</w:t>
      </w:r>
    </w:p>
    <w:p w14:paraId="7BBBC2B0">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合同的部分和全部都不得转让。</w:t>
      </w:r>
    </w:p>
    <w:p w14:paraId="6A4F3DB5">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（十）合同的生效</w:t>
      </w:r>
    </w:p>
    <w:p w14:paraId="41A210AD">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合同的生效</w:t>
      </w:r>
    </w:p>
    <w:p w14:paraId="59847C76">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本合同在双方签字盖章并在收到卖方提交的履约保证金或履约保函后生效。</w:t>
      </w:r>
    </w:p>
    <w:p w14:paraId="52928BD6">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（十一）争议解决</w:t>
      </w:r>
    </w:p>
    <w:p w14:paraId="3AEFF16E">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争议解决</w:t>
      </w:r>
    </w:p>
    <w:p w14:paraId="18D33FA3">
      <w:pPr>
        <w:pStyle w:val="8"/>
        <w:keepNext w:val="0"/>
        <w:keepLines w:val="0"/>
        <w:pageBreakBefore w:val="0"/>
        <w:widowControl w:val="0"/>
        <w:kinsoku/>
        <w:wordWrap/>
        <w:overflowPunct w:val="0"/>
        <w:topLinePunct w:val="0"/>
        <w:autoSpaceDE/>
        <w:autoSpaceDN/>
        <w:bidi w:val="0"/>
        <w:adjustRightInd/>
        <w:snapToGrid/>
        <w:spacing w:line="340" w:lineRule="exact"/>
        <w:ind w:left="0" w:leftChars="0"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买卖双方因合同发生争议，进行调解，协商不成，可选择：</w:t>
      </w:r>
    </w:p>
    <w:p w14:paraId="5AC61CDA">
      <w:pPr>
        <w:pStyle w:val="8"/>
        <w:keepNext w:val="0"/>
        <w:keepLines w:val="0"/>
        <w:pageBreakBefore w:val="0"/>
        <w:widowControl w:val="0"/>
        <w:numPr>
          <w:ilvl w:val="0"/>
          <w:numId w:val="0"/>
        </w:numPr>
        <w:kinsoku/>
        <w:wordWrap/>
        <w:overflowPunct w:val="0"/>
        <w:topLinePunct w:val="0"/>
        <w:autoSpaceDE/>
        <w:autoSpaceDN/>
        <w:bidi w:val="0"/>
        <w:adjustRightInd/>
        <w:snapToGrid/>
        <w:spacing w:line="340" w:lineRule="exact"/>
        <w:ind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双方同时申请仲裁；</w:t>
      </w:r>
    </w:p>
    <w:p w14:paraId="62C0B264">
      <w:pPr>
        <w:pStyle w:val="8"/>
        <w:keepNext w:val="0"/>
        <w:keepLines w:val="0"/>
        <w:pageBreakBefore w:val="0"/>
        <w:widowControl w:val="0"/>
        <w:numPr>
          <w:ilvl w:val="0"/>
          <w:numId w:val="0"/>
        </w:numPr>
        <w:kinsoku/>
        <w:wordWrap/>
        <w:overflowPunct w:val="0"/>
        <w:topLinePunct w:val="0"/>
        <w:autoSpaceDE/>
        <w:autoSpaceDN/>
        <w:bidi w:val="0"/>
        <w:adjustRightInd/>
        <w:snapToGrid/>
        <w:spacing w:line="340" w:lineRule="exact"/>
        <w:ind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向买方所在地人民法院提起诉讼。</w:t>
      </w:r>
    </w:p>
    <w:p w14:paraId="45E2AF17">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（十二）附则</w:t>
      </w:r>
    </w:p>
    <w:p w14:paraId="7E319F68">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合同份数。</w:t>
      </w:r>
    </w:p>
    <w:p w14:paraId="461EA3C2">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cs="宋体"/>
          <w:color w:val="auto"/>
          <w:sz w:val="24"/>
          <w:szCs w:val="24"/>
          <w:highlight w:val="none"/>
          <w:lang w:val="en-US" w:eastAsia="zh-CN"/>
        </w:rPr>
        <w:t>柒</w:t>
      </w:r>
      <w:r>
        <w:rPr>
          <w:rFonts w:hint="eastAsia" w:ascii="宋体" w:hAnsi="宋体" w:eastAsia="宋体" w:cs="宋体"/>
          <w:color w:val="auto"/>
          <w:sz w:val="24"/>
          <w:szCs w:val="24"/>
          <w:highlight w:val="none"/>
        </w:rPr>
        <w:t>份，买卖双方各执叁份，招标代理单位执</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p>
    <w:p w14:paraId="65F72EA7">
      <w:pPr>
        <w:keepNext w:val="0"/>
        <w:keepLines w:val="0"/>
        <w:pageBreakBefore w:val="0"/>
        <w:widowControl w:val="0"/>
        <w:kinsoku/>
        <w:wordWrap/>
        <w:topLinePunct w:val="0"/>
        <w:autoSpaceDE/>
        <w:autoSpaceDN/>
        <w:bidi w:val="0"/>
        <w:adjustRightInd/>
        <w:snapToGrid/>
        <w:spacing w:line="340" w:lineRule="exact"/>
        <w:ind w:right="0" w:righ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未尽事宜</w:t>
      </w:r>
    </w:p>
    <w:p w14:paraId="2A7BE8FA">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本合同未尽事宜应按《中华人民共和国</w:t>
      </w:r>
      <w:r>
        <w:rPr>
          <w:rFonts w:hint="eastAsia" w:ascii="宋体" w:hAnsi="宋体" w:eastAsia="宋体" w:cs="宋体"/>
          <w:color w:val="auto"/>
          <w:sz w:val="24"/>
          <w:szCs w:val="24"/>
          <w:highlight w:val="none"/>
          <w:lang w:val="en-US" w:eastAsia="zh-CN"/>
        </w:rPr>
        <w:t>招投标法</w:t>
      </w:r>
      <w:r>
        <w:rPr>
          <w:rFonts w:hint="eastAsia" w:ascii="宋体" w:hAnsi="宋体" w:eastAsia="宋体" w:cs="宋体"/>
          <w:color w:val="auto"/>
          <w:sz w:val="24"/>
          <w:szCs w:val="24"/>
          <w:highlight w:val="none"/>
        </w:rPr>
        <w:t>》、《中华人民共和国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》、《中华人民共和国产品质量法》之规定解释。</w:t>
      </w:r>
    </w:p>
    <w:p w14:paraId="5A38A019">
      <w:pPr>
        <w:spacing w:line="380" w:lineRule="exact"/>
        <w:rPr>
          <w:rFonts w:hint="eastAsia" w:ascii="宋体" w:hAnsi="宋体" w:eastAsia="宋体" w:cs="宋体"/>
          <w:color w:val="auto"/>
          <w:sz w:val="24"/>
          <w:szCs w:val="24"/>
          <w:highlight w:val="none"/>
        </w:rPr>
      </w:pPr>
    </w:p>
    <w:p w14:paraId="4A590D6A">
      <w:pPr>
        <w:pStyle w:val="5"/>
        <w:pageBreakBefore w:val="0"/>
        <w:numPr>
          <w:ilvl w:val="0"/>
          <w:numId w:val="0"/>
        </w:numPr>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宋体"/>
          <w:b/>
          <w:color w:val="auto"/>
          <w:sz w:val="28"/>
          <w:szCs w:val="28"/>
          <w:highlight w:val="none"/>
          <w:lang w:val="en-US" w:eastAsia="zh-CN"/>
        </w:rPr>
      </w:pPr>
      <w:bookmarkStart w:id="93" w:name="_Toc267261701"/>
      <w:r>
        <w:rPr>
          <w:rFonts w:hint="eastAsia" w:eastAsia="仿宋_GB2312"/>
          <w:color w:val="auto"/>
          <w:sz w:val="24"/>
          <w:highlight w:val="none"/>
        </w:rPr>
        <w:br w:type="page"/>
      </w:r>
      <w:bookmarkEnd w:id="93"/>
      <w:bookmarkStart w:id="94" w:name="_Toc13968"/>
      <w:r>
        <w:rPr>
          <w:rFonts w:hint="eastAsia" w:ascii="宋体"/>
          <w:b/>
          <w:color w:val="auto"/>
          <w:sz w:val="28"/>
          <w:szCs w:val="28"/>
          <w:highlight w:val="none"/>
          <w:lang w:val="en-US" w:eastAsia="zh-CN"/>
        </w:rPr>
        <w:t>第六章 投标文件格式</w:t>
      </w:r>
      <w:bookmarkEnd w:id="94"/>
    </w:p>
    <w:p w14:paraId="3B7F71D7">
      <w:pPr>
        <w:rPr>
          <w:color w:val="auto"/>
          <w:highlight w:val="none"/>
        </w:rPr>
      </w:pPr>
      <w:r>
        <w:rPr>
          <w:rFonts w:hint="eastAsia" w:ascii="宋体" w:hAnsi="宋体" w:cs="宋体"/>
          <w:b/>
          <w:color w:val="auto"/>
          <w:sz w:val="28"/>
          <w:szCs w:val="28"/>
          <w:highlight w:val="none"/>
        </w:rPr>
        <w:t>一、</w:t>
      </w:r>
      <w:r>
        <w:rPr>
          <w:rFonts w:hint="eastAsia" w:ascii="宋体" w:hAnsi="宋体" w:cs="宋体"/>
          <w:b/>
          <w:color w:val="auto"/>
          <w:sz w:val="28"/>
          <w:szCs w:val="28"/>
          <w:highlight w:val="none"/>
          <w:lang w:eastAsia="zh-CN"/>
        </w:rPr>
        <w:t>资格</w:t>
      </w:r>
      <w:r>
        <w:rPr>
          <w:rFonts w:hint="eastAsia" w:ascii="宋体" w:hAnsi="宋体" w:cs="宋体"/>
          <w:b/>
          <w:color w:val="auto"/>
          <w:sz w:val="28"/>
          <w:szCs w:val="28"/>
          <w:highlight w:val="none"/>
        </w:rPr>
        <w:t>证明格式文件</w:t>
      </w:r>
    </w:p>
    <w:p w14:paraId="1112402A">
      <w:pPr>
        <w:jc w:val="center"/>
        <w:rPr>
          <w:rFonts w:hint="eastAsia" w:ascii="宋体" w:hAnsi="宋体" w:eastAsia="黑体" w:cs="宋体"/>
          <w:b/>
          <w:color w:val="auto"/>
          <w:sz w:val="20"/>
          <w:szCs w:val="28"/>
          <w:highlight w:val="none"/>
          <w:bdr w:val="single" w:color="000000" w:sz="4" w:space="0"/>
        </w:rPr>
      </w:pPr>
    </w:p>
    <w:p w14:paraId="14C5E73F">
      <w:pPr>
        <w:jc w:val="center"/>
        <w:rPr>
          <w:rFonts w:hint="eastAsia" w:eastAsia="黑体"/>
          <w:color w:val="auto"/>
          <w:sz w:val="20"/>
          <w:highlight w:val="none"/>
        </w:rPr>
      </w:pPr>
    </w:p>
    <w:p w14:paraId="6B82C572">
      <w:pPr>
        <w:rPr>
          <w:rFonts w:hint="eastAsia" w:eastAsia="黑体"/>
          <w:color w:val="auto"/>
          <w:sz w:val="20"/>
          <w:highlight w:val="none"/>
        </w:rPr>
      </w:pPr>
    </w:p>
    <w:p w14:paraId="747A26A3">
      <w:pPr>
        <w:jc w:val="center"/>
        <w:rPr>
          <w:color w:val="auto"/>
          <w:highlight w:val="none"/>
        </w:rPr>
      </w:pPr>
      <w:r>
        <w:rPr>
          <w:rFonts w:hint="eastAsia" w:ascii="宋体" w:hAnsi="宋体"/>
          <w:b/>
          <w:color w:val="auto"/>
          <w:sz w:val="44"/>
          <w:szCs w:val="44"/>
          <w:highlight w:val="none"/>
          <w:lang w:eastAsia="zh-CN"/>
        </w:rPr>
        <w:t>资格</w:t>
      </w:r>
      <w:r>
        <w:rPr>
          <w:rFonts w:hint="eastAsia" w:ascii="宋体" w:hAnsi="宋体"/>
          <w:b/>
          <w:color w:val="auto"/>
          <w:sz w:val="44"/>
          <w:szCs w:val="44"/>
          <w:highlight w:val="none"/>
        </w:rPr>
        <w:t>证明文件</w:t>
      </w:r>
    </w:p>
    <w:p w14:paraId="33B101B4">
      <w:pPr>
        <w:jc w:val="center"/>
        <w:rPr>
          <w:color w:val="auto"/>
          <w:highlight w:val="none"/>
        </w:rPr>
      </w:pPr>
      <w:r>
        <w:rPr>
          <w:rFonts w:hint="eastAsia" w:ascii="宋体" w:hAnsi="宋体"/>
          <w:color w:val="auto"/>
          <w:sz w:val="32"/>
          <w:szCs w:val="32"/>
          <w:highlight w:val="none"/>
        </w:rPr>
        <w:t>（投标文件一）</w:t>
      </w:r>
    </w:p>
    <w:p w14:paraId="1A7B96AB">
      <w:pPr>
        <w:jc w:val="center"/>
        <w:rPr>
          <w:rFonts w:hint="eastAsia" w:ascii="宋体" w:hAnsi="宋体" w:eastAsia="黑体"/>
          <w:color w:val="auto"/>
          <w:sz w:val="44"/>
          <w:szCs w:val="44"/>
          <w:highlight w:val="none"/>
        </w:rPr>
      </w:pPr>
    </w:p>
    <w:p w14:paraId="3601DD6F">
      <w:pPr>
        <w:jc w:val="center"/>
        <w:rPr>
          <w:color w:val="auto"/>
          <w:highlight w:val="none"/>
        </w:rPr>
      </w:pPr>
      <w:r>
        <w:rPr>
          <w:rFonts w:hint="eastAsia" w:ascii="宋体" w:hAnsi="宋体" w:cs="宋体"/>
          <w:color w:val="auto"/>
          <w:sz w:val="32"/>
          <w:szCs w:val="32"/>
          <w:highlight w:val="none"/>
          <w:u w:val="single"/>
        </w:rPr>
        <w:t xml:space="preserve">        </w:t>
      </w:r>
      <w:r>
        <w:rPr>
          <w:rFonts w:hint="eastAsia" w:ascii="宋体" w:hAnsi="宋体"/>
          <w:color w:val="auto"/>
          <w:sz w:val="32"/>
          <w:szCs w:val="32"/>
          <w:highlight w:val="none"/>
        </w:rPr>
        <w:t>项目</w:t>
      </w:r>
    </w:p>
    <w:p w14:paraId="4DF1D416">
      <w:pPr>
        <w:jc w:val="center"/>
        <w:rPr>
          <w:color w:val="auto"/>
          <w:highlight w:val="none"/>
        </w:rPr>
      </w:pPr>
      <w:r>
        <w:rPr>
          <w:rFonts w:hint="eastAsia" w:ascii="宋体" w:hAnsi="宋体"/>
          <w:color w:val="auto"/>
          <w:sz w:val="28"/>
          <w:szCs w:val="28"/>
          <w:highlight w:val="none"/>
        </w:rPr>
        <w:t>项目编号</w:t>
      </w:r>
      <w:r>
        <w:rPr>
          <w:rFonts w:hint="eastAsia" w:ascii="宋体" w:hAnsi="宋体"/>
          <w:color w:val="auto"/>
          <w:sz w:val="28"/>
          <w:szCs w:val="28"/>
          <w:highlight w:val="none"/>
          <w:u w:val="single"/>
        </w:rPr>
        <w:t xml:space="preserve">     </w:t>
      </w:r>
    </w:p>
    <w:p w14:paraId="056BFCD1">
      <w:pPr>
        <w:rPr>
          <w:rFonts w:hint="eastAsia" w:ascii="宋体" w:hAnsi="宋体"/>
          <w:color w:val="auto"/>
          <w:sz w:val="28"/>
          <w:szCs w:val="28"/>
          <w:highlight w:val="none"/>
        </w:rPr>
      </w:pPr>
    </w:p>
    <w:p w14:paraId="6BE166FC">
      <w:pPr>
        <w:rPr>
          <w:rFonts w:hint="eastAsia" w:ascii="宋体" w:hAnsi="宋体"/>
          <w:color w:val="auto"/>
          <w:sz w:val="28"/>
          <w:szCs w:val="28"/>
          <w:highlight w:val="none"/>
        </w:rPr>
      </w:pPr>
    </w:p>
    <w:p w14:paraId="66ABED01">
      <w:pPr>
        <w:rPr>
          <w:rFonts w:hint="eastAsia" w:ascii="宋体" w:hAnsi="宋体"/>
          <w:color w:val="auto"/>
          <w:sz w:val="28"/>
          <w:szCs w:val="28"/>
          <w:highlight w:val="none"/>
        </w:rPr>
      </w:pPr>
    </w:p>
    <w:p w14:paraId="69845127">
      <w:pPr>
        <w:rPr>
          <w:rFonts w:hint="eastAsia" w:ascii="宋体" w:hAnsi="宋体"/>
          <w:color w:val="auto"/>
          <w:sz w:val="28"/>
          <w:szCs w:val="28"/>
          <w:highlight w:val="none"/>
        </w:rPr>
      </w:pPr>
    </w:p>
    <w:p w14:paraId="1BA9B192">
      <w:pPr>
        <w:rPr>
          <w:rFonts w:hint="eastAsia" w:ascii="宋体" w:hAnsi="宋体"/>
          <w:color w:val="auto"/>
          <w:sz w:val="28"/>
          <w:szCs w:val="28"/>
          <w:highlight w:val="none"/>
        </w:rPr>
      </w:pPr>
    </w:p>
    <w:p w14:paraId="41F5047A">
      <w:pPr>
        <w:rPr>
          <w:rFonts w:hint="eastAsia" w:ascii="宋体" w:hAnsi="宋体"/>
          <w:color w:val="auto"/>
          <w:sz w:val="28"/>
          <w:szCs w:val="28"/>
          <w:highlight w:val="none"/>
        </w:rPr>
      </w:pPr>
    </w:p>
    <w:p w14:paraId="7B1066CF">
      <w:pPr>
        <w:rPr>
          <w:rFonts w:hint="eastAsia" w:ascii="宋体" w:hAnsi="宋体"/>
          <w:color w:val="auto"/>
          <w:sz w:val="28"/>
          <w:szCs w:val="28"/>
          <w:highlight w:val="none"/>
        </w:rPr>
      </w:pPr>
    </w:p>
    <w:p w14:paraId="236031E2">
      <w:pPr>
        <w:jc w:val="center"/>
        <w:rPr>
          <w:color w:val="auto"/>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（签章）</w:t>
      </w:r>
    </w:p>
    <w:p w14:paraId="3C02F4B7">
      <w:pPr>
        <w:ind w:firstLine="560"/>
        <w:rPr>
          <w:color w:val="auto"/>
          <w:highlight w:val="none"/>
        </w:rPr>
      </w:pPr>
      <w:r>
        <w:rPr>
          <w:rFonts w:hint="eastAsia" w:ascii="宋体" w:hAnsi="宋体"/>
          <w:color w:val="auto"/>
          <w:sz w:val="28"/>
          <w:szCs w:val="28"/>
          <w:highlight w:val="none"/>
        </w:rPr>
        <w:t>法定代表人：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（签章）</w:t>
      </w:r>
    </w:p>
    <w:p w14:paraId="65FF369C">
      <w:pPr>
        <w:jc w:val="center"/>
        <w:rPr>
          <w:color w:val="auto"/>
          <w:highlight w:val="none"/>
        </w:rPr>
      </w:pPr>
      <w:r>
        <w:rPr>
          <w:rFonts w:hint="eastAsia" w:ascii="宋体" w:hAnsi="宋体" w:cs="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0D96E6F6">
      <w:pPr>
        <w:spacing w:line="720" w:lineRule="auto"/>
        <w:jc w:val="center"/>
        <w:rPr>
          <w:rFonts w:hint="eastAsia" w:ascii="宋体" w:hAnsi="宋体"/>
          <w:b/>
          <w:color w:val="auto"/>
          <w:sz w:val="36"/>
          <w:szCs w:val="36"/>
          <w:highlight w:val="none"/>
        </w:rPr>
      </w:pPr>
    </w:p>
    <w:p w14:paraId="18577D57">
      <w:pPr>
        <w:spacing w:line="400" w:lineRule="exact"/>
        <w:ind w:firstLine="4130"/>
        <w:rPr>
          <w:rFonts w:hint="eastAsia" w:ascii="宋体" w:hAnsi="宋体"/>
          <w:b/>
          <w:color w:val="auto"/>
          <w:sz w:val="44"/>
          <w:szCs w:val="44"/>
          <w:highlight w:val="none"/>
        </w:rPr>
      </w:pPr>
    </w:p>
    <w:p w14:paraId="7933C6A7">
      <w:pPr>
        <w:jc w:val="center"/>
        <w:rPr>
          <w:rFonts w:hint="eastAsia"/>
          <w:b/>
          <w:color w:val="auto"/>
          <w:sz w:val="36"/>
          <w:szCs w:val="36"/>
          <w:highlight w:val="none"/>
        </w:rPr>
      </w:pPr>
    </w:p>
    <w:p w14:paraId="2602D61C">
      <w:pPr>
        <w:jc w:val="center"/>
        <w:rPr>
          <w:color w:val="auto"/>
          <w:highlight w:val="none"/>
        </w:rPr>
      </w:pPr>
      <w:r>
        <w:rPr>
          <w:rFonts w:hint="eastAsia"/>
          <w:b/>
          <w:color w:val="auto"/>
          <w:sz w:val="36"/>
          <w:szCs w:val="36"/>
          <w:highlight w:val="none"/>
        </w:rPr>
        <w:t>目</w:t>
      </w:r>
      <w:r>
        <w:rPr>
          <w:rFonts w:hint="eastAsia" w:eastAsia="Times New Roman"/>
          <w:b/>
          <w:color w:val="auto"/>
          <w:sz w:val="36"/>
          <w:szCs w:val="36"/>
          <w:highlight w:val="none"/>
        </w:rPr>
        <w:t xml:space="preserve">   </w:t>
      </w:r>
      <w:r>
        <w:rPr>
          <w:rFonts w:hint="eastAsia"/>
          <w:b/>
          <w:color w:val="auto"/>
          <w:sz w:val="36"/>
          <w:szCs w:val="36"/>
          <w:highlight w:val="none"/>
        </w:rPr>
        <w:t>录</w:t>
      </w:r>
    </w:p>
    <w:p w14:paraId="4FBC99AB">
      <w:pPr>
        <w:spacing w:line="400" w:lineRule="exact"/>
        <w:ind w:firstLine="562"/>
        <w:rPr>
          <w:rFonts w:hint="eastAsia"/>
          <w:b/>
          <w:color w:val="auto"/>
          <w:sz w:val="28"/>
          <w:szCs w:val="28"/>
          <w:highlight w:val="none"/>
        </w:rPr>
      </w:pPr>
    </w:p>
    <w:p w14:paraId="2BEE36C7">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（1）法定代表人身份证明和本人身份证(或法定代表人授权委托书和委托代理人有效身份证)（格式见附件）；</w:t>
      </w:r>
    </w:p>
    <w:p w14:paraId="2F6D751D">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（2）营业执照；</w:t>
      </w:r>
    </w:p>
    <w:p w14:paraId="2890AE76">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）诚信投标承诺书（格式见附件）；</w:t>
      </w:r>
    </w:p>
    <w:p w14:paraId="571677C0">
      <w:pPr>
        <w:spacing w:line="400" w:lineRule="exact"/>
        <w:ind w:firstLine="420"/>
        <w:rPr>
          <w:rFonts w:hint="eastAsia" w:ascii="宋体" w:hAnsi="宋体" w:eastAsia="宋体" w:cs="Times New Roman"/>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）投标人认为需要提供的其他材料（如有）</w:t>
      </w:r>
      <w:r>
        <w:rPr>
          <w:rFonts w:hint="eastAsia" w:ascii="宋体" w:hAnsi="宋体" w:eastAsia="宋体" w:cs="Times New Roman"/>
          <w:color w:val="auto"/>
          <w:szCs w:val="21"/>
          <w:highlight w:val="none"/>
          <w:lang w:eastAsia="zh-CN"/>
        </w:rPr>
        <w:t>。</w:t>
      </w:r>
    </w:p>
    <w:p w14:paraId="499F56E7">
      <w:pPr>
        <w:spacing w:line="4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未提供格式的投标人自拟。</w:t>
      </w:r>
    </w:p>
    <w:p w14:paraId="2B293455">
      <w:pPr>
        <w:rPr>
          <w:rFonts w:hint="eastAsia"/>
          <w:b/>
          <w:color w:val="auto"/>
          <w:sz w:val="28"/>
          <w:szCs w:val="28"/>
          <w:highlight w:val="none"/>
        </w:rPr>
      </w:pPr>
      <w:r>
        <w:rPr>
          <w:rFonts w:hint="eastAsia"/>
          <w:b/>
          <w:color w:val="auto"/>
          <w:sz w:val="28"/>
          <w:szCs w:val="28"/>
          <w:highlight w:val="none"/>
        </w:rPr>
        <w:br w:type="page"/>
      </w:r>
    </w:p>
    <w:p w14:paraId="459FE366">
      <w:pPr>
        <w:spacing w:line="360" w:lineRule="auto"/>
        <w:rPr>
          <w:color w:val="auto"/>
          <w:highlight w:val="none"/>
        </w:rPr>
      </w:pPr>
      <w:r>
        <w:rPr>
          <w:rFonts w:hint="eastAsia"/>
          <w:b/>
          <w:color w:val="auto"/>
          <w:sz w:val="28"/>
          <w:szCs w:val="28"/>
          <w:highlight w:val="none"/>
        </w:rPr>
        <w:t>附件1</w:t>
      </w:r>
    </w:p>
    <w:p w14:paraId="617FA287">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7D1EC157">
      <w:pPr>
        <w:spacing w:before="240" w:beforeLines="100" w:after="240" w:afterLines="100"/>
        <w:jc w:val="center"/>
        <w:rPr>
          <w:color w:val="auto"/>
          <w:szCs w:val="21"/>
          <w:highlight w:val="none"/>
        </w:rPr>
      </w:pPr>
      <w:r>
        <w:rPr>
          <w:rFonts w:hint="eastAsia" w:ascii="宋体" w:hAnsi="宋体" w:cs="宋体"/>
          <w:b/>
          <w:bCs/>
          <w:color w:val="auto"/>
          <w:sz w:val="28"/>
          <w:szCs w:val="28"/>
          <w:highlight w:val="none"/>
        </w:rPr>
        <w:t>1.法定代表人身份证明</w:t>
      </w:r>
    </w:p>
    <w:p w14:paraId="5F3415E6">
      <w:pPr>
        <w:spacing w:line="480" w:lineRule="exact"/>
        <w:rPr>
          <w:color w:val="auto"/>
          <w:sz w:val="24"/>
          <w:highlight w:val="none"/>
        </w:rPr>
      </w:pPr>
      <w:r>
        <w:rPr>
          <w:rFonts w:cs="宋体"/>
          <w:color w:val="auto"/>
          <w:sz w:val="24"/>
          <w:highlight w:val="none"/>
        </w:rPr>
        <w:t>投标人名称：</w:t>
      </w:r>
      <w:r>
        <w:rPr>
          <w:rFonts w:eastAsia="Times New Roman"/>
          <w:color w:val="auto"/>
          <w:sz w:val="24"/>
          <w:highlight w:val="none"/>
          <w:u w:val="single"/>
        </w:rPr>
        <w:t xml:space="preserve">                            </w:t>
      </w:r>
      <w:r>
        <w:rPr>
          <w:rFonts w:eastAsia="Times New Roman"/>
          <w:color w:val="auto"/>
          <w:sz w:val="24"/>
          <w:highlight w:val="none"/>
        </w:rPr>
        <w:t xml:space="preserve"> </w:t>
      </w:r>
    </w:p>
    <w:p w14:paraId="7156A687">
      <w:pPr>
        <w:spacing w:line="480" w:lineRule="exact"/>
        <w:rPr>
          <w:color w:val="auto"/>
          <w:sz w:val="24"/>
          <w:highlight w:val="none"/>
        </w:rPr>
      </w:pPr>
      <w:r>
        <w:rPr>
          <w:rFonts w:cs="宋体"/>
          <w:color w:val="auto"/>
          <w:sz w:val="24"/>
          <w:highlight w:val="none"/>
        </w:rPr>
        <w:t>单位性质：</w:t>
      </w:r>
      <w:r>
        <w:rPr>
          <w:rFonts w:eastAsia="Times New Roman"/>
          <w:color w:val="auto"/>
          <w:sz w:val="24"/>
          <w:highlight w:val="none"/>
          <w:u w:val="single"/>
        </w:rPr>
        <w:t xml:space="preserve">                               </w:t>
      </w:r>
      <w:r>
        <w:rPr>
          <w:rFonts w:eastAsia="Times New Roman"/>
          <w:color w:val="auto"/>
          <w:sz w:val="24"/>
          <w:highlight w:val="none"/>
        </w:rPr>
        <w:t xml:space="preserve"> </w:t>
      </w:r>
    </w:p>
    <w:p w14:paraId="4209AAD8">
      <w:pPr>
        <w:spacing w:line="480" w:lineRule="exact"/>
        <w:rPr>
          <w:color w:val="auto"/>
          <w:sz w:val="24"/>
          <w:highlight w:val="none"/>
        </w:rPr>
      </w:pPr>
      <w:r>
        <w:rPr>
          <w:rFonts w:cs="宋体"/>
          <w:color w:val="auto"/>
          <w:sz w:val="24"/>
          <w:highlight w:val="none"/>
        </w:rPr>
        <w:t>地址：</w:t>
      </w:r>
      <w:r>
        <w:rPr>
          <w:rFonts w:eastAsia="Times New Roman"/>
          <w:color w:val="auto"/>
          <w:sz w:val="24"/>
          <w:highlight w:val="none"/>
          <w:u w:val="single"/>
        </w:rPr>
        <w:t xml:space="preserve">                                   </w:t>
      </w:r>
    </w:p>
    <w:p w14:paraId="336A2801">
      <w:pPr>
        <w:spacing w:line="480" w:lineRule="exact"/>
        <w:rPr>
          <w:color w:val="auto"/>
          <w:sz w:val="24"/>
          <w:highlight w:val="none"/>
        </w:rPr>
      </w:pPr>
      <w:r>
        <w:rPr>
          <w:rFonts w:cs="宋体"/>
          <w:color w:val="auto"/>
          <w:sz w:val="24"/>
          <w:highlight w:val="none"/>
        </w:rPr>
        <w:t>成立时间：</w:t>
      </w:r>
      <w:r>
        <w:rPr>
          <w:rFonts w:eastAsia="Times New Roman"/>
          <w:color w:val="auto"/>
          <w:sz w:val="24"/>
          <w:highlight w:val="none"/>
          <w:u w:val="single"/>
        </w:rPr>
        <w:t xml:space="preserve">          </w:t>
      </w:r>
      <w:r>
        <w:rPr>
          <w:rFonts w:cs="宋体"/>
          <w:color w:val="auto"/>
          <w:sz w:val="24"/>
          <w:highlight w:val="none"/>
        </w:rPr>
        <w:t>年</w:t>
      </w:r>
      <w:r>
        <w:rPr>
          <w:rFonts w:eastAsia="Times New Roman"/>
          <w:color w:val="auto"/>
          <w:sz w:val="24"/>
          <w:highlight w:val="none"/>
          <w:u w:val="single"/>
        </w:rPr>
        <w:t xml:space="preserve">        </w:t>
      </w:r>
      <w:r>
        <w:rPr>
          <w:rFonts w:cs="宋体"/>
          <w:color w:val="auto"/>
          <w:sz w:val="24"/>
          <w:highlight w:val="none"/>
        </w:rPr>
        <w:t>月</w:t>
      </w:r>
      <w:r>
        <w:rPr>
          <w:rFonts w:eastAsia="Times New Roman"/>
          <w:color w:val="auto"/>
          <w:sz w:val="24"/>
          <w:highlight w:val="none"/>
          <w:u w:val="single"/>
        </w:rPr>
        <w:t xml:space="preserve">        </w:t>
      </w:r>
      <w:r>
        <w:rPr>
          <w:rFonts w:cs="宋体"/>
          <w:color w:val="auto"/>
          <w:sz w:val="24"/>
          <w:highlight w:val="none"/>
        </w:rPr>
        <w:t>日</w:t>
      </w:r>
    </w:p>
    <w:p w14:paraId="5020D938">
      <w:pPr>
        <w:spacing w:line="480" w:lineRule="exact"/>
        <w:rPr>
          <w:color w:val="auto"/>
          <w:sz w:val="24"/>
          <w:highlight w:val="none"/>
        </w:rPr>
      </w:pPr>
      <w:r>
        <w:rPr>
          <w:rFonts w:cs="宋体"/>
          <w:color w:val="auto"/>
          <w:sz w:val="24"/>
          <w:highlight w:val="none"/>
        </w:rPr>
        <w:t>经营期限：</w:t>
      </w:r>
      <w:r>
        <w:rPr>
          <w:rFonts w:eastAsia="Times New Roman"/>
          <w:color w:val="auto"/>
          <w:sz w:val="24"/>
          <w:highlight w:val="none"/>
          <w:u w:val="single"/>
        </w:rPr>
        <w:t xml:space="preserve">                               </w:t>
      </w:r>
    </w:p>
    <w:p w14:paraId="1F410897">
      <w:pPr>
        <w:spacing w:line="480" w:lineRule="exact"/>
        <w:rPr>
          <w:color w:val="auto"/>
          <w:sz w:val="24"/>
          <w:highlight w:val="none"/>
        </w:rPr>
      </w:pPr>
      <w:r>
        <w:rPr>
          <w:rFonts w:cs="宋体"/>
          <w:color w:val="auto"/>
          <w:sz w:val="24"/>
          <w:highlight w:val="none"/>
        </w:rPr>
        <w:t>姓名：</w:t>
      </w:r>
      <w:r>
        <w:rPr>
          <w:rFonts w:eastAsia="Times New Roman"/>
          <w:color w:val="auto"/>
          <w:sz w:val="24"/>
          <w:highlight w:val="none"/>
          <w:u w:val="single"/>
        </w:rPr>
        <w:t xml:space="preserve">        </w:t>
      </w:r>
      <w:r>
        <w:rPr>
          <w:rFonts w:hint="eastAsia" w:eastAsia="Times New Roman"/>
          <w:color w:val="auto"/>
          <w:sz w:val="24"/>
          <w:highlight w:val="none"/>
          <w:u w:val="single"/>
        </w:rPr>
        <w:t xml:space="preserve"> </w:t>
      </w:r>
      <w:r>
        <w:rPr>
          <w:rFonts w:eastAsia="Times New Roman"/>
          <w:color w:val="auto"/>
          <w:sz w:val="24"/>
          <w:highlight w:val="none"/>
        </w:rPr>
        <w:t xml:space="preserve"> </w:t>
      </w:r>
      <w:r>
        <w:rPr>
          <w:rFonts w:cs="宋体"/>
          <w:color w:val="auto"/>
          <w:sz w:val="24"/>
          <w:highlight w:val="none"/>
        </w:rPr>
        <w:t>性别：</w:t>
      </w:r>
      <w:r>
        <w:rPr>
          <w:rFonts w:eastAsia="Times New Roman"/>
          <w:color w:val="auto"/>
          <w:sz w:val="24"/>
          <w:highlight w:val="none"/>
          <w:u w:val="single"/>
        </w:rPr>
        <w:t xml:space="preserve">         </w:t>
      </w:r>
      <w:r>
        <w:rPr>
          <w:rFonts w:cs="宋体"/>
          <w:color w:val="auto"/>
          <w:sz w:val="24"/>
          <w:highlight w:val="none"/>
        </w:rPr>
        <w:t>年龄：</w:t>
      </w:r>
      <w:r>
        <w:rPr>
          <w:rFonts w:eastAsia="Times New Roman"/>
          <w:color w:val="auto"/>
          <w:sz w:val="24"/>
          <w:highlight w:val="none"/>
          <w:u w:val="single"/>
        </w:rPr>
        <w:t xml:space="preserve">        </w:t>
      </w:r>
      <w:r>
        <w:rPr>
          <w:rFonts w:cs="宋体"/>
          <w:color w:val="auto"/>
          <w:sz w:val="24"/>
          <w:highlight w:val="none"/>
        </w:rPr>
        <w:t>职务：</w:t>
      </w:r>
      <w:r>
        <w:rPr>
          <w:rFonts w:eastAsia="Times New Roman"/>
          <w:color w:val="auto"/>
          <w:sz w:val="24"/>
          <w:highlight w:val="none"/>
          <w:u w:val="single"/>
        </w:rPr>
        <w:t xml:space="preserve">        </w:t>
      </w:r>
    </w:p>
    <w:p w14:paraId="6DCCFFA6">
      <w:pPr>
        <w:spacing w:line="480" w:lineRule="exact"/>
        <w:rPr>
          <w:color w:val="auto"/>
          <w:sz w:val="24"/>
          <w:highlight w:val="none"/>
        </w:rPr>
      </w:pPr>
      <w:r>
        <w:rPr>
          <w:rFonts w:cs="宋体"/>
          <w:color w:val="auto"/>
          <w:sz w:val="24"/>
          <w:highlight w:val="none"/>
        </w:rPr>
        <w:t>系</w:t>
      </w:r>
      <w:r>
        <w:rPr>
          <w:rFonts w:eastAsia="Times New Roman"/>
          <w:color w:val="auto"/>
          <w:sz w:val="24"/>
          <w:highlight w:val="none"/>
          <w:u w:val="single"/>
        </w:rPr>
        <w:t xml:space="preserve">                             </w:t>
      </w:r>
      <w:r>
        <w:rPr>
          <w:rFonts w:eastAsia="Times New Roman"/>
          <w:color w:val="auto"/>
          <w:sz w:val="24"/>
          <w:highlight w:val="none"/>
        </w:rPr>
        <w:t xml:space="preserve"> </w:t>
      </w:r>
      <w:r>
        <w:rPr>
          <w:rFonts w:hint="eastAsia" w:cs="宋体"/>
          <w:color w:val="auto"/>
          <w:sz w:val="24"/>
          <w:highlight w:val="none"/>
        </w:rPr>
        <w:t>（</w:t>
      </w:r>
      <w:r>
        <w:rPr>
          <w:rFonts w:cs="宋体"/>
          <w:color w:val="auto"/>
          <w:sz w:val="24"/>
          <w:highlight w:val="none"/>
        </w:rPr>
        <w:t>投标人名称</w:t>
      </w:r>
      <w:r>
        <w:rPr>
          <w:rFonts w:hint="eastAsia" w:cs="宋体"/>
          <w:color w:val="auto"/>
          <w:sz w:val="24"/>
          <w:highlight w:val="none"/>
        </w:rPr>
        <w:t>）</w:t>
      </w:r>
      <w:r>
        <w:rPr>
          <w:rFonts w:cs="宋体"/>
          <w:color w:val="auto"/>
          <w:sz w:val="24"/>
          <w:highlight w:val="none"/>
        </w:rPr>
        <w:t>的法定代表人。</w:t>
      </w:r>
    </w:p>
    <w:p w14:paraId="7735754F">
      <w:pPr>
        <w:spacing w:line="480" w:lineRule="exact"/>
        <w:ind w:firstLine="560"/>
        <w:rPr>
          <w:color w:val="auto"/>
          <w:sz w:val="24"/>
          <w:highlight w:val="none"/>
        </w:rPr>
      </w:pPr>
      <w:r>
        <w:rPr>
          <w:rFonts w:cs="宋体"/>
          <w:color w:val="auto"/>
          <w:sz w:val="24"/>
          <w:highlight w:val="none"/>
        </w:rPr>
        <w:t>特此证明。</w:t>
      </w:r>
    </w:p>
    <w:p w14:paraId="74694F27">
      <w:pPr>
        <w:spacing w:line="480" w:lineRule="exact"/>
        <w:rPr>
          <w:color w:val="auto"/>
          <w:sz w:val="24"/>
          <w:highlight w:val="none"/>
        </w:rPr>
      </w:pPr>
      <w:r>
        <w:rPr>
          <w:rFonts w:eastAsia="Times New Roman"/>
          <w:color w:val="auto"/>
          <w:sz w:val="24"/>
          <w:highlight w:val="none"/>
        </w:rPr>
        <w:t xml:space="preserve">                       </w:t>
      </w:r>
      <w:r>
        <w:rPr>
          <w:rFonts w:cs="宋体"/>
          <w:color w:val="auto"/>
          <w:sz w:val="24"/>
          <w:highlight w:val="none"/>
        </w:rPr>
        <w:t>投标人：</w:t>
      </w:r>
      <w:r>
        <w:rPr>
          <w:rFonts w:eastAsia="Times New Roman"/>
          <w:color w:val="auto"/>
          <w:sz w:val="24"/>
          <w:highlight w:val="none"/>
          <w:u w:val="single"/>
        </w:rPr>
        <w:t xml:space="preserve">                 </w:t>
      </w:r>
      <w:r>
        <w:rPr>
          <w:rFonts w:cs="宋体"/>
          <w:color w:val="auto"/>
          <w:sz w:val="24"/>
          <w:highlight w:val="none"/>
        </w:rPr>
        <w:t>（盖单位章）</w:t>
      </w:r>
    </w:p>
    <w:p w14:paraId="728D3E07">
      <w:pPr>
        <w:spacing w:line="480" w:lineRule="exact"/>
        <w:ind w:left="431"/>
        <w:rPr>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04E92B">
      <w:pPr>
        <w:rPr>
          <w:rFonts w:hint="eastAsia" w:ascii="宋体" w:hAnsi="宋体" w:cs="宋体"/>
          <w:color w:val="auto"/>
          <w:sz w:val="24"/>
          <w:highlight w:val="none"/>
        </w:rPr>
      </w:pPr>
    </w:p>
    <w:p w14:paraId="2146100E">
      <w:pPr>
        <w:spacing w:before="240" w:beforeLines="100" w:after="240" w:afterLines="100"/>
        <w:jc w:val="center"/>
        <w:rPr>
          <w:color w:val="auto"/>
          <w:highlight w:val="none"/>
        </w:rPr>
      </w:pPr>
      <w:r>
        <w:rPr>
          <w:rFonts w:hint="eastAsia" w:ascii="宋体" w:hAnsi="宋体" w:cs="宋体"/>
          <w:b/>
          <w:bCs/>
          <w:color w:val="auto"/>
          <w:sz w:val="28"/>
          <w:szCs w:val="28"/>
          <w:highlight w:val="none"/>
        </w:rPr>
        <w:t>2.授权委托书</w:t>
      </w:r>
    </w:p>
    <w:p w14:paraId="2253A196">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4D1658DB">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3DC9D20B">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03CEA7DD">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45D8638D">
      <w:pPr>
        <w:spacing w:line="480" w:lineRule="exact"/>
        <w:rPr>
          <w:rFonts w:hint="eastAsia" w:ascii="宋体"/>
          <w:color w:val="auto"/>
          <w:sz w:val="24"/>
          <w:highlight w:val="none"/>
        </w:rPr>
      </w:pPr>
      <w:r>
        <w:rPr>
          <w:rFonts w:hint="eastAsia" w:ascii="宋体"/>
          <w:color w:val="auto"/>
          <w:sz w:val="24"/>
          <w:highlight w:val="none"/>
        </w:rPr>
        <w:t xml:space="preserve">                                     投标人：             （盖单位章）</w:t>
      </w:r>
    </w:p>
    <w:p w14:paraId="60DE19D6">
      <w:pPr>
        <w:spacing w:line="480" w:lineRule="exact"/>
        <w:ind w:firstLine="2280" w:firstLineChars="950"/>
        <w:rPr>
          <w:rFonts w:hint="eastAsia" w:ascii="宋体"/>
          <w:color w:val="auto"/>
          <w:sz w:val="24"/>
          <w:highlight w:val="none"/>
        </w:rPr>
      </w:pPr>
      <w:r>
        <w:rPr>
          <w:rFonts w:hint="eastAsia" w:ascii="宋体"/>
          <w:color w:val="auto"/>
          <w:sz w:val="24"/>
          <w:highlight w:val="none"/>
        </w:rPr>
        <w:t>法定代表人（身份证号码）：             （签章）</w:t>
      </w:r>
    </w:p>
    <w:p w14:paraId="706DEFE5">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172C6F61">
      <w:pPr>
        <w:spacing w:line="360" w:lineRule="auto"/>
        <w:rPr>
          <w:rFonts w:hint="eastAsia"/>
          <w:b/>
          <w:color w:val="auto"/>
          <w:sz w:val="28"/>
          <w:szCs w:val="28"/>
          <w:highlight w:val="none"/>
        </w:rPr>
      </w:pPr>
      <w:r>
        <w:rPr>
          <w:rFonts w:hint="eastAsia"/>
          <w:b/>
          <w:color w:val="auto"/>
          <w:sz w:val="28"/>
          <w:szCs w:val="28"/>
          <w:highlight w:val="none"/>
        </w:rPr>
        <w:t>附件2</w:t>
      </w:r>
    </w:p>
    <w:p w14:paraId="6FEE27EA">
      <w:pPr>
        <w:jc w:val="center"/>
        <w:rPr>
          <w:color w:val="auto"/>
          <w:highlight w:val="none"/>
        </w:rPr>
      </w:pPr>
      <w:r>
        <w:rPr>
          <w:rFonts w:hint="eastAsia" w:cs="Arial"/>
          <w:b/>
          <w:bCs/>
          <w:color w:val="auto"/>
          <w:sz w:val="30"/>
          <w:szCs w:val="30"/>
          <w:highlight w:val="none"/>
        </w:rPr>
        <w:t>诚信投标承诺书</w:t>
      </w:r>
      <w:r>
        <w:rPr>
          <w:rFonts w:hint="eastAsia" w:ascii="宋体" w:hAnsi="宋体" w:cs="宋体"/>
          <w:b/>
          <w:color w:val="auto"/>
          <w:sz w:val="30"/>
          <w:szCs w:val="30"/>
          <w:highlight w:val="none"/>
        </w:rPr>
        <w:t> </w:t>
      </w:r>
    </w:p>
    <w:p w14:paraId="6BC66B5F">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 xml:space="preserve">本人以企业法定代表人的身份郑重承诺： </w:t>
      </w:r>
    </w:p>
    <w:p w14:paraId="32724A19">
      <w:pPr>
        <w:widowControl/>
        <w:numPr>
          <w:ilvl w:val="0"/>
          <w:numId w:val="0"/>
        </w:numPr>
        <w:spacing w:line="360" w:lineRule="exact"/>
        <w:ind w:firstLine="480" w:firstLineChars="0"/>
        <w:jc w:val="left"/>
        <w:rPr>
          <w:rFonts w:hint="eastAsia" w:ascii="宋体" w:hAnsi="宋体" w:cs="宋体"/>
          <w:color w:val="auto"/>
          <w:kern w:val="0"/>
          <w:szCs w:val="21"/>
          <w:highlight w:val="none"/>
          <w:lang w:eastAsia="zh-CN" w:bidi="ar"/>
        </w:rPr>
      </w:pPr>
      <w:r>
        <w:rPr>
          <w:rFonts w:hint="eastAsia" w:ascii="宋体" w:hAnsi="宋体" w:eastAsia="宋体" w:cs="宋体"/>
          <w:color w:val="auto"/>
          <w:kern w:val="0"/>
          <w:sz w:val="21"/>
          <w:szCs w:val="21"/>
          <w:highlight w:val="none"/>
          <w:lang w:val="en-US" w:eastAsia="zh-CN" w:bidi="ar"/>
        </w:rPr>
        <w:t>一、</w:t>
      </w:r>
      <w:r>
        <w:rPr>
          <w:rFonts w:hint="eastAsia" w:ascii="宋体" w:hAnsi="宋体" w:cs="宋体"/>
          <w:color w:val="auto"/>
          <w:kern w:val="0"/>
          <w:szCs w:val="21"/>
          <w:highlight w:val="none"/>
          <w:lang w:bidi="ar"/>
        </w:rPr>
        <w:t>将遵循公开、公正和诚实信用的原则自愿参加</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项目的投标</w:t>
      </w:r>
      <w:r>
        <w:rPr>
          <w:rFonts w:hint="eastAsia" w:ascii="宋体" w:hAnsi="宋体" w:cs="宋体"/>
          <w:color w:val="auto"/>
          <w:kern w:val="0"/>
          <w:szCs w:val="21"/>
          <w:highlight w:val="none"/>
          <w:lang w:eastAsia="zh-CN" w:bidi="ar"/>
        </w:rPr>
        <w:t>；</w:t>
      </w:r>
    </w:p>
    <w:p w14:paraId="73DE4133">
      <w:pPr>
        <w:widowControl/>
        <w:numPr>
          <w:ilvl w:val="0"/>
          <w:numId w:val="0"/>
        </w:numPr>
        <w:spacing w:line="360" w:lineRule="exact"/>
        <w:ind w:firstLine="480" w:firstLineChars="0"/>
        <w:jc w:val="left"/>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二、</w:t>
      </w:r>
      <w:r>
        <w:rPr>
          <w:rFonts w:hint="eastAsia" w:ascii="宋体" w:hAnsi="宋体" w:cs="宋体"/>
          <w:color w:val="auto"/>
          <w:kern w:val="0"/>
          <w:szCs w:val="21"/>
          <w:highlight w:val="none"/>
          <w:lang w:bidi="ar"/>
        </w:rPr>
        <w:t xml:space="preserve">所提供的一切材料都是真实、有效、合法的； </w:t>
      </w:r>
    </w:p>
    <w:p w14:paraId="1E1A65B5">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 xml:space="preserve">三、不出借、转让资质证书，不让他人挂靠投标，不以他人名义投标或者以其他方式弄虚作假，骗取中标； </w:t>
      </w:r>
    </w:p>
    <w:p w14:paraId="30324BFE">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四、不与其他投标人相互串通投标报价，不排挤其他投标人的公平竞争、损害招标人的合法权益；</w:t>
      </w:r>
    </w:p>
    <w:p w14:paraId="62074A30">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 xml:space="preserve">五、不与招标人、招标代理机构或其他投标人串通投标，损害国家利益、社会公共利益或者他人的合法权益； </w:t>
      </w:r>
    </w:p>
    <w:p w14:paraId="3FB1C5DD">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六、我公司没有下列情形：1、被人民法院列入失信被执行人的；2、我公司及其法定代表人、拟任</w:t>
      </w:r>
      <w:r>
        <w:rPr>
          <w:rFonts w:hint="eastAsia" w:ascii="宋体" w:hAnsi="宋体" w:cs="宋体"/>
          <w:color w:val="auto"/>
          <w:kern w:val="0"/>
          <w:szCs w:val="21"/>
          <w:highlight w:val="none"/>
          <w:lang w:eastAsia="zh-CN" w:bidi="ar"/>
        </w:rPr>
        <w:t>项目负责人</w:t>
      </w:r>
      <w:r>
        <w:rPr>
          <w:rFonts w:hint="eastAsia" w:ascii="宋体" w:hAnsi="宋体" w:cs="宋体"/>
          <w:color w:val="auto"/>
          <w:kern w:val="0"/>
          <w:szCs w:val="21"/>
          <w:highlight w:val="none"/>
          <w:lang w:bidi="ar"/>
        </w:rPr>
        <w:t>前三年</w:t>
      </w:r>
      <w:r>
        <w:rPr>
          <w:rFonts w:hint="eastAsia" w:ascii="宋体" w:hAnsi="宋体" w:cs="宋体"/>
          <w:color w:val="auto"/>
          <w:kern w:val="0"/>
          <w:szCs w:val="21"/>
          <w:highlight w:val="none"/>
          <w:lang w:val="en-US" w:eastAsia="zh-CN" w:bidi="ar"/>
        </w:rPr>
        <w:t>有</w:t>
      </w:r>
      <w:r>
        <w:rPr>
          <w:rFonts w:hint="eastAsia" w:ascii="宋体" w:hAnsi="宋体" w:cs="宋体"/>
          <w:color w:val="auto"/>
          <w:kern w:val="0"/>
          <w:szCs w:val="21"/>
          <w:highlight w:val="none"/>
          <w:lang w:bidi="ar"/>
        </w:rPr>
        <w:t>行贿犯罪</w:t>
      </w:r>
      <w:r>
        <w:rPr>
          <w:rFonts w:hint="eastAsia" w:ascii="宋体" w:hAnsi="宋体" w:cs="宋体"/>
          <w:color w:val="auto"/>
          <w:kern w:val="0"/>
          <w:szCs w:val="21"/>
          <w:highlight w:val="none"/>
          <w:lang w:val="en-US" w:eastAsia="zh-CN" w:bidi="ar"/>
        </w:rPr>
        <w:t>行为</w:t>
      </w:r>
      <w:r>
        <w:rPr>
          <w:rFonts w:hint="eastAsia" w:ascii="宋体" w:hAnsi="宋体" w:cs="宋体"/>
          <w:color w:val="auto"/>
          <w:kern w:val="0"/>
          <w:szCs w:val="21"/>
          <w:highlight w:val="none"/>
          <w:lang w:bidi="ar"/>
        </w:rPr>
        <w:t>的；3、被市场监督管理部门列入经营异常名录或者严重违法企业名单</w:t>
      </w:r>
      <w:r>
        <w:rPr>
          <w:rFonts w:hint="eastAsia" w:ascii="宋体" w:hAnsi="宋体" w:cs="宋体"/>
          <w:color w:val="auto"/>
          <w:kern w:val="0"/>
          <w:szCs w:val="21"/>
          <w:highlight w:val="none"/>
          <w:lang w:val="en-US" w:eastAsia="zh-CN" w:bidi="ar"/>
        </w:rPr>
        <w:t>且未被移除的</w:t>
      </w:r>
      <w:r>
        <w:rPr>
          <w:rFonts w:hint="eastAsia" w:ascii="宋体" w:hAnsi="宋体" w:cs="宋体"/>
          <w:color w:val="auto"/>
          <w:kern w:val="0"/>
          <w:szCs w:val="21"/>
          <w:highlight w:val="none"/>
          <w:lang w:bidi="ar"/>
        </w:rPr>
        <w:t>；4、被税务部门列入重大税收违法案件当事人的；5、在“信用中国”网站上披露仍在公示期的严重失信行为的；6、被滁州市县两级各行业主管部门及公管部门取消在一定期限内的投标资格且在取消期限内的；7、被滁州市县两级公管部门记入不良行为记录或者信用信息记录，且在披露期内的；8、被人力资源社会保障主管部门列入拖欠农民工工资“黑名单”或因拖欠农民工工资被县级及以上有关行政主管部门限制投标资格且在限制期限内的。</w:t>
      </w:r>
    </w:p>
    <w:p w14:paraId="63C1DF16">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七、严格遵守开标现场纪律，服从监管人员管理；</w:t>
      </w:r>
    </w:p>
    <w:p w14:paraId="7EF397B8">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八、保证中标后不转包，若有分包征得招标人同意；</w:t>
      </w:r>
    </w:p>
    <w:p w14:paraId="6BFF1AE5">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 xml:space="preserve">九、保证中标之后，按照投标文件要求提供相关后续服务； </w:t>
      </w:r>
    </w:p>
    <w:p w14:paraId="563C1E85">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十、保证企业及所属相关人员在本次投标中无行贿等犯罪行为；</w:t>
      </w:r>
    </w:p>
    <w:p w14:paraId="2E44D114">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D1B7CE6">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2D608CC2">
      <w:pPr>
        <w:spacing w:line="360" w:lineRule="exact"/>
        <w:rPr>
          <w:color w:val="auto"/>
          <w:szCs w:val="21"/>
          <w:highlight w:val="none"/>
        </w:rPr>
      </w:pPr>
      <w:r>
        <w:rPr>
          <w:rFonts w:hint="eastAsia" w:ascii="宋体" w:hAnsi="宋体" w:cs="宋体"/>
          <w:color w:val="auto"/>
          <w:szCs w:val="21"/>
          <w:highlight w:val="none"/>
        </w:rPr>
        <w:t> </w:t>
      </w:r>
    </w:p>
    <w:p w14:paraId="0483BB6B">
      <w:pPr>
        <w:widowControl/>
        <w:spacing w:line="360" w:lineRule="exact"/>
        <w:ind w:firstLine="480"/>
        <w:jc w:val="left"/>
        <w:rPr>
          <w:color w:val="auto"/>
          <w:szCs w:val="21"/>
          <w:highlight w:val="none"/>
        </w:rPr>
      </w:pPr>
      <w:r>
        <w:rPr>
          <w:rFonts w:hint="eastAsia" w:ascii="宋体" w:hAnsi="宋体" w:cs="宋体"/>
          <w:color w:val="auto"/>
          <w:kern w:val="0"/>
          <w:szCs w:val="21"/>
          <w:highlight w:val="none"/>
          <w:lang w:bidi="ar"/>
        </w:rPr>
        <w:t>开户银行：                   基本账户：</w:t>
      </w:r>
    </w:p>
    <w:p w14:paraId="01B87584">
      <w:pPr>
        <w:widowControl/>
        <w:spacing w:line="360" w:lineRule="exact"/>
        <w:ind w:firstLine="480"/>
        <w:jc w:val="left"/>
        <w:rPr>
          <w:rFonts w:hint="eastAsia" w:ascii="宋体" w:hAnsi="宋体" w:cs="宋体"/>
          <w:b/>
          <w:color w:val="auto"/>
          <w:kern w:val="0"/>
          <w:szCs w:val="21"/>
          <w:highlight w:val="none"/>
          <w:lang w:bidi="ar"/>
        </w:rPr>
      </w:pPr>
      <w:r>
        <w:rPr>
          <w:rFonts w:hint="eastAsia" w:ascii="宋体" w:hAnsi="宋体" w:cs="宋体"/>
          <w:color w:val="auto"/>
          <w:kern w:val="0"/>
          <w:szCs w:val="21"/>
          <w:highlight w:val="none"/>
          <w:lang w:bidi="ar"/>
        </w:rPr>
        <w:t>投标单位（盖章）：           法定代表人（签字或盖章）：</w:t>
      </w:r>
    </w:p>
    <w:p w14:paraId="320CF031">
      <w:pPr>
        <w:widowControl/>
        <w:spacing w:line="360" w:lineRule="exact"/>
        <w:ind w:firstLine="48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年   月   日</w:t>
      </w:r>
    </w:p>
    <w:p w14:paraId="7E24F16D">
      <w:pPr>
        <w:rPr>
          <w:color w:val="auto"/>
          <w:highlight w:val="none"/>
        </w:rPr>
      </w:pPr>
      <w:r>
        <w:rPr>
          <w:rFonts w:hint="eastAsia" w:ascii="宋体" w:hAnsi="宋体" w:cs="宋体"/>
          <w:color w:val="auto"/>
          <w:kern w:val="0"/>
          <w:szCs w:val="21"/>
          <w:highlight w:val="none"/>
          <w:lang w:bidi="ar"/>
        </w:rPr>
        <w:br w:type="page"/>
      </w:r>
      <w:r>
        <w:rPr>
          <w:rFonts w:hint="eastAsia" w:ascii="宋体" w:hAnsi="宋体" w:cs="宋体"/>
          <w:b/>
          <w:color w:val="auto"/>
          <w:sz w:val="28"/>
          <w:szCs w:val="28"/>
          <w:highlight w:val="none"/>
        </w:rPr>
        <w:t>二、技术标格式文件</w:t>
      </w:r>
    </w:p>
    <w:p w14:paraId="294FC456">
      <w:pPr>
        <w:jc w:val="center"/>
        <w:rPr>
          <w:rFonts w:hint="eastAsia" w:ascii="宋体" w:hAnsi="宋体" w:cs="宋体"/>
          <w:b/>
          <w:color w:val="auto"/>
          <w:sz w:val="44"/>
          <w:szCs w:val="44"/>
          <w:highlight w:val="none"/>
          <w:bdr w:val="single" w:color="000000" w:sz="4" w:space="0"/>
        </w:rPr>
      </w:pPr>
    </w:p>
    <w:p w14:paraId="26DB248E">
      <w:pPr>
        <w:jc w:val="center"/>
        <w:rPr>
          <w:rFonts w:hint="eastAsia" w:ascii="宋体" w:hAnsi="宋体"/>
          <w:b/>
          <w:color w:val="auto"/>
          <w:sz w:val="44"/>
          <w:szCs w:val="44"/>
          <w:highlight w:val="none"/>
        </w:rPr>
      </w:pPr>
    </w:p>
    <w:p w14:paraId="1CB1C9AF">
      <w:pPr>
        <w:jc w:val="center"/>
        <w:rPr>
          <w:rFonts w:hint="eastAsia"/>
          <w:b/>
          <w:bCs/>
          <w:color w:val="auto"/>
          <w:sz w:val="44"/>
          <w:szCs w:val="44"/>
          <w:highlight w:val="none"/>
        </w:rPr>
      </w:pPr>
      <w:r>
        <w:rPr>
          <w:rFonts w:hint="eastAsia"/>
          <w:b/>
          <w:bCs/>
          <w:color w:val="auto"/>
          <w:sz w:val="44"/>
          <w:szCs w:val="44"/>
          <w:highlight w:val="none"/>
        </w:rPr>
        <w:t>技术标</w:t>
      </w:r>
    </w:p>
    <w:p w14:paraId="01156FCB">
      <w:pPr>
        <w:jc w:val="center"/>
        <w:rPr>
          <w:rFonts w:hint="eastAsia" w:ascii="宋体"/>
          <w:color w:val="auto"/>
          <w:sz w:val="32"/>
          <w:szCs w:val="32"/>
          <w:highlight w:val="none"/>
        </w:rPr>
      </w:pPr>
      <w:r>
        <w:rPr>
          <w:rFonts w:hint="eastAsia" w:ascii="宋体"/>
          <w:color w:val="auto"/>
          <w:sz w:val="32"/>
          <w:szCs w:val="32"/>
          <w:highlight w:val="none"/>
        </w:rPr>
        <w:t>（投标文件二）</w:t>
      </w:r>
    </w:p>
    <w:p w14:paraId="67A86048">
      <w:pPr>
        <w:jc w:val="center"/>
        <w:rPr>
          <w:rFonts w:hint="eastAsia" w:eastAsia="黑体"/>
          <w:color w:val="auto"/>
          <w:sz w:val="44"/>
          <w:szCs w:val="44"/>
          <w:highlight w:val="none"/>
        </w:rPr>
      </w:pPr>
    </w:p>
    <w:p w14:paraId="6E3BB069">
      <w:pPr>
        <w:jc w:val="center"/>
        <w:rPr>
          <w:color w:val="auto"/>
          <w:highlight w:val="none"/>
        </w:rPr>
      </w:pPr>
      <w:r>
        <w:rPr>
          <w:rFonts w:hint="eastAsia" w:ascii="宋体" w:hAnsi="宋体" w:cs="宋体"/>
          <w:color w:val="auto"/>
          <w:sz w:val="32"/>
          <w:szCs w:val="32"/>
          <w:highlight w:val="none"/>
          <w:u w:val="single"/>
        </w:rPr>
        <w:t xml:space="preserve">        </w:t>
      </w:r>
      <w:r>
        <w:rPr>
          <w:rFonts w:hint="eastAsia" w:ascii="宋体" w:hAnsi="宋体"/>
          <w:color w:val="auto"/>
          <w:sz w:val="32"/>
          <w:szCs w:val="32"/>
          <w:highlight w:val="none"/>
        </w:rPr>
        <w:t>项目</w:t>
      </w:r>
    </w:p>
    <w:p w14:paraId="26ED4C2F">
      <w:pPr>
        <w:jc w:val="center"/>
        <w:rPr>
          <w:color w:val="auto"/>
          <w:highlight w:val="none"/>
        </w:rPr>
      </w:pPr>
      <w:r>
        <w:rPr>
          <w:rFonts w:hint="eastAsia" w:ascii="宋体" w:hAnsi="宋体"/>
          <w:color w:val="auto"/>
          <w:sz w:val="28"/>
          <w:szCs w:val="28"/>
          <w:highlight w:val="none"/>
        </w:rPr>
        <w:t>项目编号</w:t>
      </w:r>
      <w:r>
        <w:rPr>
          <w:rFonts w:hint="eastAsia" w:ascii="宋体" w:hAnsi="宋体"/>
          <w:color w:val="auto"/>
          <w:sz w:val="28"/>
          <w:szCs w:val="28"/>
          <w:highlight w:val="none"/>
          <w:u w:val="single"/>
        </w:rPr>
        <w:t xml:space="preserve">     </w:t>
      </w:r>
    </w:p>
    <w:p w14:paraId="7B6DEC6B">
      <w:pPr>
        <w:rPr>
          <w:rFonts w:hint="eastAsia" w:ascii="宋体" w:hAnsi="宋体"/>
          <w:color w:val="auto"/>
          <w:sz w:val="28"/>
          <w:szCs w:val="28"/>
          <w:highlight w:val="none"/>
        </w:rPr>
      </w:pPr>
    </w:p>
    <w:p w14:paraId="4BEF2977">
      <w:pPr>
        <w:rPr>
          <w:rFonts w:hint="eastAsia" w:ascii="宋体" w:hAnsi="宋体"/>
          <w:color w:val="auto"/>
          <w:sz w:val="28"/>
          <w:szCs w:val="28"/>
          <w:highlight w:val="none"/>
        </w:rPr>
      </w:pPr>
    </w:p>
    <w:p w14:paraId="1A39EAB6">
      <w:pPr>
        <w:rPr>
          <w:rFonts w:hint="eastAsia" w:ascii="宋体" w:hAnsi="宋体"/>
          <w:color w:val="auto"/>
          <w:sz w:val="28"/>
          <w:szCs w:val="28"/>
          <w:highlight w:val="none"/>
        </w:rPr>
      </w:pPr>
    </w:p>
    <w:p w14:paraId="1BAD6516">
      <w:pPr>
        <w:rPr>
          <w:rFonts w:hint="eastAsia" w:ascii="宋体" w:hAnsi="宋体"/>
          <w:color w:val="auto"/>
          <w:sz w:val="28"/>
          <w:szCs w:val="28"/>
          <w:highlight w:val="none"/>
        </w:rPr>
      </w:pPr>
    </w:p>
    <w:p w14:paraId="45C10C41">
      <w:pPr>
        <w:rPr>
          <w:rFonts w:hint="eastAsia" w:ascii="宋体" w:hAnsi="宋体"/>
          <w:color w:val="auto"/>
          <w:sz w:val="28"/>
          <w:szCs w:val="28"/>
          <w:highlight w:val="none"/>
        </w:rPr>
      </w:pPr>
    </w:p>
    <w:p w14:paraId="0A71F5C4">
      <w:pPr>
        <w:rPr>
          <w:rFonts w:hint="eastAsia" w:ascii="宋体" w:hAnsi="宋体"/>
          <w:color w:val="auto"/>
          <w:sz w:val="28"/>
          <w:szCs w:val="28"/>
          <w:highlight w:val="none"/>
        </w:rPr>
      </w:pPr>
    </w:p>
    <w:p w14:paraId="3DB7EBAF">
      <w:pPr>
        <w:rPr>
          <w:rFonts w:hint="eastAsia" w:ascii="宋体" w:hAnsi="宋体"/>
          <w:color w:val="auto"/>
          <w:sz w:val="28"/>
          <w:szCs w:val="28"/>
          <w:highlight w:val="none"/>
        </w:rPr>
      </w:pPr>
    </w:p>
    <w:p w14:paraId="5BF16760">
      <w:pPr>
        <w:jc w:val="center"/>
        <w:rPr>
          <w:color w:val="auto"/>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（签章）</w:t>
      </w:r>
    </w:p>
    <w:p w14:paraId="64560DBF">
      <w:pPr>
        <w:ind w:firstLine="560"/>
        <w:rPr>
          <w:color w:val="auto"/>
          <w:highlight w:val="none"/>
        </w:rPr>
      </w:pPr>
      <w:r>
        <w:rPr>
          <w:rFonts w:hint="eastAsia" w:ascii="宋体" w:hAnsi="宋体"/>
          <w:color w:val="auto"/>
          <w:sz w:val="28"/>
          <w:szCs w:val="28"/>
          <w:highlight w:val="none"/>
        </w:rPr>
        <w:t>法定代表人：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（签章）</w:t>
      </w:r>
    </w:p>
    <w:p w14:paraId="2C65A6E2">
      <w:pPr>
        <w:jc w:val="center"/>
        <w:rPr>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463D9D95">
      <w:pPr>
        <w:rPr>
          <w:rFonts w:hint="eastAsia"/>
          <w:b/>
          <w:color w:val="auto"/>
          <w:sz w:val="36"/>
          <w:szCs w:val="36"/>
          <w:highlight w:val="none"/>
        </w:rPr>
      </w:pPr>
      <w:r>
        <w:rPr>
          <w:rFonts w:hint="eastAsia"/>
          <w:b/>
          <w:color w:val="auto"/>
          <w:sz w:val="36"/>
          <w:szCs w:val="36"/>
          <w:highlight w:val="none"/>
        </w:rPr>
        <w:br w:type="page"/>
      </w:r>
    </w:p>
    <w:p w14:paraId="7B74190E">
      <w:pPr>
        <w:jc w:val="center"/>
        <w:rPr>
          <w:rFonts w:hint="eastAsia"/>
          <w:b/>
          <w:color w:val="auto"/>
          <w:sz w:val="36"/>
          <w:szCs w:val="36"/>
          <w:highlight w:val="none"/>
        </w:rPr>
      </w:pPr>
      <w:r>
        <w:rPr>
          <w:rFonts w:hint="eastAsia"/>
          <w:b/>
          <w:color w:val="auto"/>
          <w:sz w:val="36"/>
          <w:szCs w:val="36"/>
          <w:highlight w:val="none"/>
        </w:rPr>
        <w:t>目   录</w:t>
      </w:r>
    </w:p>
    <w:p w14:paraId="24868F02">
      <w:pPr>
        <w:spacing w:line="400" w:lineRule="exact"/>
        <w:ind w:left="0" w:leftChars="0" w:firstLine="0" w:firstLineChars="0"/>
        <w:jc w:val="center"/>
        <w:rPr>
          <w:rFonts w:hint="eastAsia"/>
          <w:b/>
          <w:color w:val="auto"/>
          <w:sz w:val="44"/>
          <w:szCs w:val="44"/>
          <w:highlight w:val="none"/>
        </w:rPr>
      </w:pPr>
    </w:p>
    <w:p w14:paraId="347607B9">
      <w:pPr>
        <w:spacing w:line="4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w:t>
      </w:r>
      <w:r>
        <w:rPr>
          <w:rFonts w:hint="eastAsia" w:ascii="宋体" w:hAnsi="宋体" w:cs="Times New Roman"/>
          <w:color w:val="auto"/>
          <w:szCs w:val="21"/>
          <w:highlight w:val="none"/>
          <w:lang w:val="en-US" w:eastAsia="zh-CN"/>
        </w:rPr>
        <w:t>货物</w:t>
      </w:r>
      <w:r>
        <w:rPr>
          <w:rFonts w:hint="eastAsia" w:ascii="宋体" w:hAnsi="宋体" w:eastAsia="宋体" w:cs="Times New Roman"/>
          <w:color w:val="auto"/>
          <w:szCs w:val="21"/>
          <w:highlight w:val="none"/>
        </w:rPr>
        <w:t>详细技术参数</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必须单独列明，不得以</w:t>
      </w:r>
      <w:r>
        <w:rPr>
          <w:rFonts w:hint="eastAsia" w:ascii="宋体" w:hAnsi="宋体" w:eastAsia="宋体" w:cs="Times New Roman"/>
          <w:color w:val="auto"/>
          <w:szCs w:val="21"/>
          <w:highlight w:val="none"/>
        </w:rPr>
        <w:t>技术规格偏离表</w:t>
      </w:r>
      <w:r>
        <w:rPr>
          <w:rFonts w:hint="eastAsia" w:ascii="宋体" w:hAnsi="宋体" w:cs="Times New Roman"/>
          <w:color w:val="auto"/>
          <w:szCs w:val="21"/>
          <w:highlight w:val="none"/>
          <w:lang w:val="en-US" w:eastAsia="zh-CN"/>
        </w:rPr>
        <w:t>代替</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w:t>
      </w:r>
    </w:p>
    <w:p w14:paraId="736E5461">
      <w:pPr>
        <w:spacing w:line="4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）技术规格偏离表</w:t>
      </w:r>
      <w:r>
        <w:rPr>
          <w:rFonts w:hint="eastAsia" w:ascii="宋体" w:hAnsi="宋体"/>
          <w:color w:val="auto"/>
          <w:szCs w:val="21"/>
          <w:highlight w:val="none"/>
        </w:rPr>
        <w:t>（格式见附件）</w:t>
      </w:r>
      <w:r>
        <w:rPr>
          <w:rFonts w:hint="eastAsia" w:ascii="宋体" w:hAnsi="宋体" w:eastAsia="宋体" w:cs="Times New Roman"/>
          <w:color w:val="auto"/>
          <w:szCs w:val="21"/>
          <w:highlight w:val="none"/>
        </w:rPr>
        <w:t>；</w:t>
      </w:r>
    </w:p>
    <w:p w14:paraId="22B5EBB5">
      <w:pPr>
        <w:spacing w:line="400" w:lineRule="exact"/>
        <w:ind w:firstLine="42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投标人根据技术标评审细则要求提供的评分材料；</w:t>
      </w:r>
    </w:p>
    <w:p w14:paraId="44345A9A">
      <w:pPr>
        <w:spacing w:line="400" w:lineRule="exact"/>
        <w:ind w:firstLine="42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投标人认为需要提供的其他材料（如有）。</w:t>
      </w:r>
    </w:p>
    <w:p w14:paraId="1CF8A96D">
      <w:pPr>
        <w:tabs>
          <w:tab w:val="left" w:pos="7665"/>
        </w:tabs>
        <w:spacing w:line="440" w:lineRule="exact"/>
        <w:ind w:firstLine="428" w:firstLineChars="200"/>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未提供格式的投标人自拟。</w:t>
      </w:r>
    </w:p>
    <w:p w14:paraId="466DFBAA">
      <w:pPr>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br w:type="page"/>
      </w:r>
    </w:p>
    <w:p w14:paraId="7BEEA1EB">
      <w:pPr>
        <w:spacing w:line="360" w:lineRule="auto"/>
        <w:rPr>
          <w:rFonts w:hint="eastAsia"/>
          <w:b/>
          <w:color w:val="auto"/>
          <w:sz w:val="28"/>
          <w:szCs w:val="28"/>
          <w:highlight w:val="none"/>
          <w:lang w:eastAsia="zh-CN"/>
        </w:rPr>
      </w:pPr>
      <w:r>
        <w:rPr>
          <w:rFonts w:hint="eastAsia"/>
          <w:b/>
          <w:color w:val="auto"/>
          <w:sz w:val="28"/>
          <w:szCs w:val="28"/>
          <w:highlight w:val="none"/>
        </w:rPr>
        <w:t>附件</w:t>
      </w:r>
      <w:r>
        <w:rPr>
          <w:rFonts w:hint="eastAsia"/>
          <w:b/>
          <w:color w:val="auto"/>
          <w:sz w:val="28"/>
          <w:szCs w:val="28"/>
          <w:highlight w:val="none"/>
          <w:lang w:val="en-US" w:eastAsia="zh-CN"/>
        </w:rPr>
        <w:t>1</w:t>
      </w:r>
    </w:p>
    <w:p w14:paraId="60FF1172">
      <w:pPr>
        <w:spacing w:line="400" w:lineRule="exact"/>
        <w:ind w:left="431"/>
        <w:jc w:val="center"/>
        <w:rPr>
          <w:rFonts w:ascii="宋体" w:hAnsi="宋体"/>
          <w:b/>
          <w:bCs/>
          <w:color w:val="auto"/>
          <w:szCs w:val="28"/>
          <w:highlight w:val="none"/>
        </w:rPr>
      </w:pPr>
      <w:r>
        <w:rPr>
          <w:rFonts w:hint="eastAsia" w:ascii="宋体" w:hAnsi="宋体"/>
          <w:b/>
          <w:color w:val="auto"/>
          <w:sz w:val="28"/>
          <w:szCs w:val="40"/>
          <w:highlight w:val="none"/>
        </w:rPr>
        <w:t>技术</w:t>
      </w:r>
      <w:r>
        <w:rPr>
          <w:rFonts w:hint="eastAsia" w:ascii="宋体" w:hAnsi="宋体"/>
          <w:b/>
          <w:bCs/>
          <w:color w:val="auto"/>
          <w:sz w:val="28"/>
          <w:szCs w:val="40"/>
          <w:highlight w:val="none"/>
        </w:rPr>
        <w:t>规格偏离表</w:t>
      </w:r>
    </w:p>
    <w:p w14:paraId="38936242">
      <w:pPr>
        <w:spacing w:line="360" w:lineRule="auto"/>
        <w:ind w:left="945" w:hanging="945"/>
        <w:rPr>
          <w:rFonts w:hint="eastAsia"/>
          <w:color w:val="auto"/>
          <w:sz w:val="24"/>
          <w:highlight w:val="none"/>
          <w:u w:val="single"/>
        </w:rPr>
      </w:pPr>
      <w:r>
        <w:rPr>
          <w:rFonts w:hint="eastAsia" w:hAnsi="宋体"/>
          <w:color w:val="auto"/>
          <w:sz w:val="24"/>
          <w:highlight w:val="none"/>
        </w:rPr>
        <w:t>项目名称：</w:t>
      </w:r>
      <w:r>
        <w:rPr>
          <w:rFonts w:hAnsi="宋体"/>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tbl>
      <w:tblPr>
        <w:tblStyle w:val="23"/>
        <w:tblW w:w="981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139"/>
        <w:gridCol w:w="1915"/>
        <w:gridCol w:w="1915"/>
        <w:gridCol w:w="1316"/>
        <w:gridCol w:w="1436"/>
      </w:tblGrid>
      <w:tr w14:paraId="515D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atLeast"/>
        </w:trPr>
        <w:tc>
          <w:tcPr>
            <w:tcW w:w="1095" w:type="dxa"/>
            <w:noWrap w:val="0"/>
            <w:vAlign w:val="center"/>
          </w:tcPr>
          <w:p w14:paraId="2ABAF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highlight w:val="none"/>
              </w:rPr>
            </w:pPr>
            <w:r>
              <w:rPr>
                <w:rFonts w:hint="eastAsia" w:hAnsi="宋体"/>
                <w:color w:val="auto"/>
                <w:sz w:val="24"/>
                <w:highlight w:val="none"/>
              </w:rPr>
              <w:t>序号</w:t>
            </w:r>
          </w:p>
        </w:tc>
        <w:tc>
          <w:tcPr>
            <w:tcW w:w="2139" w:type="dxa"/>
            <w:noWrap w:val="0"/>
            <w:vAlign w:val="center"/>
          </w:tcPr>
          <w:p w14:paraId="09E0A4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highlight w:val="none"/>
              </w:rPr>
            </w:pPr>
            <w:r>
              <w:rPr>
                <w:rFonts w:hint="eastAsia" w:hAnsi="宋体"/>
                <w:color w:val="auto"/>
                <w:sz w:val="24"/>
                <w:highlight w:val="none"/>
                <w:lang w:val="en-US" w:eastAsia="zh-CN"/>
              </w:rPr>
              <w:t>货物</w:t>
            </w:r>
            <w:r>
              <w:rPr>
                <w:rFonts w:hint="eastAsia" w:hAnsi="宋体"/>
                <w:color w:val="auto"/>
                <w:sz w:val="24"/>
                <w:highlight w:val="none"/>
              </w:rPr>
              <w:t>名称</w:t>
            </w:r>
          </w:p>
        </w:tc>
        <w:tc>
          <w:tcPr>
            <w:tcW w:w="1915" w:type="dxa"/>
            <w:noWrap w:val="0"/>
            <w:vAlign w:val="center"/>
          </w:tcPr>
          <w:p w14:paraId="7EF7D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highlight w:val="none"/>
              </w:rPr>
            </w:pPr>
            <w:r>
              <w:rPr>
                <w:rFonts w:hint="eastAsia" w:hAnsi="宋体"/>
                <w:color w:val="auto"/>
                <w:sz w:val="24"/>
                <w:highlight w:val="none"/>
              </w:rPr>
              <w:t>招标技术参数及要求</w:t>
            </w:r>
          </w:p>
        </w:tc>
        <w:tc>
          <w:tcPr>
            <w:tcW w:w="1915" w:type="dxa"/>
            <w:noWrap w:val="0"/>
            <w:vAlign w:val="center"/>
          </w:tcPr>
          <w:p w14:paraId="629BE7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highlight w:val="none"/>
              </w:rPr>
            </w:pPr>
            <w:r>
              <w:rPr>
                <w:rFonts w:hint="eastAsia" w:hAnsi="宋体"/>
                <w:color w:val="auto"/>
                <w:sz w:val="24"/>
                <w:highlight w:val="none"/>
              </w:rPr>
              <w:t>投标的技术参数及要求</w:t>
            </w:r>
          </w:p>
        </w:tc>
        <w:tc>
          <w:tcPr>
            <w:tcW w:w="1316" w:type="dxa"/>
            <w:noWrap w:val="0"/>
            <w:vAlign w:val="center"/>
          </w:tcPr>
          <w:p w14:paraId="56901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highlight w:val="none"/>
              </w:rPr>
            </w:pPr>
            <w:r>
              <w:rPr>
                <w:rFonts w:hint="eastAsia"/>
                <w:color w:val="auto"/>
                <w:sz w:val="24"/>
                <w:highlight w:val="none"/>
              </w:rPr>
              <w:t>投标</w:t>
            </w:r>
            <w:r>
              <w:rPr>
                <w:rFonts w:hint="eastAsia"/>
                <w:color w:val="auto"/>
                <w:sz w:val="24"/>
                <w:highlight w:val="none"/>
                <w:lang w:val="en-US" w:eastAsia="zh-CN"/>
              </w:rPr>
              <w:t>货物</w:t>
            </w:r>
            <w:r>
              <w:rPr>
                <w:rFonts w:hint="eastAsia"/>
                <w:color w:val="auto"/>
                <w:sz w:val="24"/>
                <w:highlight w:val="none"/>
              </w:rPr>
              <w:t>品牌</w:t>
            </w:r>
          </w:p>
        </w:tc>
        <w:tc>
          <w:tcPr>
            <w:tcW w:w="1436" w:type="dxa"/>
            <w:noWrap w:val="0"/>
            <w:vAlign w:val="center"/>
          </w:tcPr>
          <w:p w14:paraId="57823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olor w:val="auto"/>
                <w:sz w:val="24"/>
                <w:highlight w:val="none"/>
              </w:rPr>
            </w:pPr>
            <w:r>
              <w:rPr>
                <w:rFonts w:hint="eastAsia" w:hAnsi="宋体"/>
                <w:color w:val="auto"/>
                <w:sz w:val="24"/>
                <w:highlight w:val="none"/>
              </w:rPr>
              <w:t>是否偏离</w:t>
            </w:r>
          </w:p>
        </w:tc>
      </w:tr>
      <w:tr w14:paraId="4CC9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5" w:type="dxa"/>
            <w:noWrap w:val="0"/>
            <w:vAlign w:val="top"/>
          </w:tcPr>
          <w:p w14:paraId="1A2A4397">
            <w:pPr>
              <w:spacing w:before="240" w:after="240" w:line="360" w:lineRule="auto"/>
              <w:rPr>
                <w:color w:val="auto"/>
                <w:sz w:val="24"/>
                <w:highlight w:val="none"/>
              </w:rPr>
            </w:pPr>
          </w:p>
        </w:tc>
        <w:tc>
          <w:tcPr>
            <w:tcW w:w="2139" w:type="dxa"/>
            <w:noWrap w:val="0"/>
            <w:vAlign w:val="top"/>
          </w:tcPr>
          <w:p w14:paraId="68FA8A73">
            <w:pPr>
              <w:spacing w:before="240" w:after="240" w:line="360" w:lineRule="auto"/>
              <w:rPr>
                <w:color w:val="auto"/>
                <w:sz w:val="24"/>
                <w:highlight w:val="none"/>
              </w:rPr>
            </w:pPr>
          </w:p>
        </w:tc>
        <w:tc>
          <w:tcPr>
            <w:tcW w:w="1915" w:type="dxa"/>
            <w:noWrap w:val="0"/>
            <w:vAlign w:val="top"/>
          </w:tcPr>
          <w:p w14:paraId="5E672612">
            <w:pPr>
              <w:spacing w:before="200" w:after="200" w:line="360" w:lineRule="auto"/>
              <w:rPr>
                <w:color w:val="auto"/>
                <w:sz w:val="24"/>
                <w:highlight w:val="none"/>
              </w:rPr>
            </w:pPr>
          </w:p>
        </w:tc>
        <w:tc>
          <w:tcPr>
            <w:tcW w:w="1915" w:type="dxa"/>
            <w:noWrap w:val="0"/>
            <w:vAlign w:val="top"/>
          </w:tcPr>
          <w:p w14:paraId="3C7D8788">
            <w:pPr>
              <w:spacing w:before="200" w:after="200" w:line="360" w:lineRule="auto"/>
              <w:rPr>
                <w:color w:val="auto"/>
                <w:sz w:val="24"/>
                <w:highlight w:val="none"/>
              </w:rPr>
            </w:pPr>
          </w:p>
        </w:tc>
        <w:tc>
          <w:tcPr>
            <w:tcW w:w="1316" w:type="dxa"/>
            <w:noWrap w:val="0"/>
            <w:vAlign w:val="top"/>
          </w:tcPr>
          <w:p w14:paraId="1C50DD60">
            <w:pPr>
              <w:spacing w:before="200" w:after="200" w:line="360" w:lineRule="auto"/>
              <w:rPr>
                <w:color w:val="auto"/>
                <w:sz w:val="24"/>
                <w:highlight w:val="none"/>
              </w:rPr>
            </w:pPr>
          </w:p>
        </w:tc>
        <w:tc>
          <w:tcPr>
            <w:tcW w:w="1436" w:type="dxa"/>
            <w:noWrap w:val="0"/>
            <w:vAlign w:val="top"/>
          </w:tcPr>
          <w:p w14:paraId="68AAEC14">
            <w:pPr>
              <w:spacing w:before="200" w:after="200" w:line="360" w:lineRule="auto"/>
              <w:rPr>
                <w:color w:val="auto"/>
                <w:sz w:val="24"/>
                <w:highlight w:val="none"/>
              </w:rPr>
            </w:pPr>
          </w:p>
        </w:tc>
      </w:tr>
      <w:tr w14:paraId="398C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5" w:type="dxa"/>
            <w:noWrap w:val="0"/>
            <w:vAlign w:val="top"/>
          </w:tcPr>
          <w:p w14:paraId="7BA8CA46">
            <w:pPr>
              <w:spacing w:before="240" w:after="240" w:line="360" w:lineRule="auto"/>
              <w:rPr>
                <w:color w:val="auto"/>
                <w:sz w:val="24"/>
                <w:highlight w:val="none"/>
              </w:rPr>
            </w:pPr>
          </w:p>
        </w:tc>
        <w:tc>
          <w:tcPr>
            <w:tcW w:w="2139" w:type="dxa"/>
            <w:noWrap w:val="0"/>
            <w:vAlign w:val="top"/>
          </w:tcPr>
          <w:p w14:paraId="67F4D2DC">
            <w:pPr>
              <w:spacing w:before="240" w:after="240" w:line="360" w:lineRule="auto"/>
              <w:rPr>
                <w:color w:val="auto"/>
                <w:sz w:val="24"/>
                <w:highlight w:val="none"/>
              </w:rPr>
            </w:pPr>
          </w:p>
        </w:tc>
        <w:tc>
          <w:tcPr>
            <w:tcW w:w="1915" w:type="dxa"/>
            <w:noWrap w:val="0"/>
            <w:vAlign w:val="top"/>
          </w:tcPr>
          <w:p w14:paraId="3FDCC67C">
            <w:pPr>
              <w:spacing w:before="200" w:after="200" w:line="360" w:lineRule="auto"/>
              <w:rPr>
                <w:color w:val="auto"/>
                <w:sz w:val="24"/>
                <w:highlight w:val="none"/>
              </w:rPr>
            </w:pPr>
          </w:p>
        </w:tc>
        <w:tc>
          <w:tcPr>
            <w:tcW w:w="1915" w:type="dxa"/>
            <w:noWrap w:val="0"/>
            <w:vAlign w:val="top"/>
          </w:tcPr>
          <w:p w14:paraId="1E921BAB">
            <w:pPr>
              <w:spacing w:before="200" w:after="200" w:line="360" w:lineRule="auto"/>
              <w:rPr>
                <w:color w:val="auto"/>
                <w:sz w:val="24"/>
                <w:highlight w:val="none"/>
              </w:rPr>
            </w:pPr>
          </w:p>
        </w:tc>
        <w:tc>
          <w:tcPr>
            <w:tcW w:w="1316" w:type="dxa"/>
            <w:noWrap w:val="0"/>
            <w:vAlign w:val="top"/>
          </w:tcPr>
          <w:p w14:paraId="36499376">
            <w:pPr>
              <w:spacing w:before="200" w:after="200" w:line="360" w:lineRule="auto"/>
              <w:rPr>
                <w:color w:val="auto"/>
                <w:sz w:val="24"/>
                <w:highlight w:val="none"/>
              </w:rPr>
            </w:pPr>
          </w:p>
        </w:tc>
        <w:tc>
          <w:tcPr>
            <w:tcW w:w="1436" w:type="dxa"/>
            <w:noWrap w:val="0"/>
            <w:vAlign w:val="top"/>
          </w:tcPr>
          <w:p w14:paraId="5CAA2659">
            <w:pPr>
              <w:spacing w:before="200" w:after="200" w:line="360" w:lineRule="auto"/>
              <w:rPr>
                <w:color w:val="auto"/>
                <w:sz w:val="24"/>
                <w:highlight w:val="none"/>
              </w:rPr>
            </w:pPr>
          </w:p>
        </w:tc>
      </w:tr>
      <w:tr w14:paraId="6F37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5" w:type="dxa"/>
            <w:noWrap w:val="0"/>
            <w:vAlign w:val="top"/>
          </w:tcPr>
          <w:p w14:paraId="18223578">
            <w:pPr>
              <w:spacing w:before="240" w:after="240" w:line="360" w:lineRule="auto"/>
              <w:rPr>
                <w:color w:val="auto"/>
                <w:sz w:val="24"/>
                <w:highlight w:val="none"/>
              </w:rPr>
            </w:pPr>
          </w:p>
        </w:tc>
        <w:tc>
          <w:tcPr>
            <w:tcW w:w="2139" w:type="dxa"/>
            <w:noWrap w:val="0"/>
            <w:vAlign w:val="top"/>
          </w:tcPr>
          <w:p w14:paraId="1FDF0179">
            <w:pPr>
              <w:spacing w:before="240" w:after="240" w:line="360" w:lineRule="auto"/>
              <w:rPr>
                <w:color w:val="auto"/>
                <w:sz w:val="24"/>
                <w:highlight w:val="none"/>
              </w:rPr>
            </w:pPr>
          </w:p>
        </w:tc>
        <w:tc>
          <w:tcPr>
            <w:tcW w:w="1915" w:type="dxa"/>
            <w:noWrap w:val="0"/>
            <w:vAlign w:val="top"/>
          </w:tcPr>
          <w:p w14:paraId="448F5D05">
            <w:pPr>
              <w:spacing w:before="200" w:after="200" w:line="360" w:lineRule="auto"/>
              <w:rPr>
                <w:color w:val="auto"/>
                <w:sz w:val="24"/>
                <w:highlight w:val="none"/>
              </w:rPr>
            </w:pPr>
          </w:p>
        </w:tc>
        <w:tc>
          <w:tcPr>
            <w:tcW w:w="1915" w:type="dxa"/>
            <w:noWrap w:val="0"/>
            <w:vAlign w:val="top"/>
          </w:tcPr>
          <w:p w14:paraId="3B4A623E">
            <w:pPr>
              <w:spacing w:before="200" w:after="200" w:line="360" w:lineRule="auto"/>
              <w:rPr>
                <w:color w:val="auto"/>
                <w:sz w:val="24"/>
                <w:highlight w:val="none"/>
              </w:rPr>
            </w:pPr>
          </w:p>
        </w:tc>
        <w:tc>
          <w:tcPr>
            <w:tcW w:w="1316" w:type="dxa"/>
            <w:noWrap w:val="0"/>
            <w:vAlign w:val="top"/>
          </w:tcPr>
          <w:p w14:paraId="4B91731D">
            <w:pPr>
              <w:spacing w:before="200" w:after="200" w:line="360" w:lineRule="auto"/>
              <w:rPr>
                <w:color w:val="auto"/>
                <w:sz w:val="24"/>
                <w:highlight w:val="none"/>
              </w:rPr>
            </w:pPr>
          </w:p>
        </w:tc>
        <w:tc>
          <w:tcPr>
            <w:tcW w:w="1436" w:type="dxa"/>
            <w:noWrap w:val="0"/>
            <w:vAlign w:val="top"/>
          </w:tcPr>
          <w:p w14:paraId="3B71F346">
            <w:pPr>
              <w:spacing w:before="200" w:after="200" w:line="360" w:lineRule="auto"/>
              <w:rPr>
                <w:color w:val="auto"/>
                <w:sz w:val="24"/>
                <w:highlight w:val="none"/>
              </w:rPr>
            </w:pPr>
          </w:p>
        </w:tc>
      </w:tr>
      <w:tr w14:paraId="62FB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5" w:type="dxa"/>
            <w:noWrap w:val="0"/>
            <w:vAlign w:val="top"/>
          </w:tcPr>
          <w:p w14:paraId="63FE446C">
            <w:pPr>
              <w:spacing w:before="240" w:after="240" w:line="360" w:lineRule="auto"/>
              <w:rPr>
                <w:color w:val="auto"/>
                <w:sz w:val="24"/>
                <w:highlight w:val="none"/>
              </w:rPr>
            </w:pPr>
          </w:p>
        </w:tc>
        <w:tc>
          <w:tcPr>
            <w:tcW w:w="2139" w:type="dxa"/>
            <w:noWrap w:val="0"/>
            <w:vAlign w:val="top"/>
          </w:tcPr>
          <w:p w14:paraId="5758F4BE">
            <w:pPr>
              <w:spacing w:before="240" w:after="240" w:line="360" w:lineRule="auto"/>
              <w:rPr>
                <w:color w:val="auto"/>
                <w:sz w:val="24"/>
                <w:highlight w:val="none"/>
              </w:rPr>
            </w:pPr>
          </w:p>
        </w:tc>
        <w:tc>
          <w:tcPr>
            <w:tcW w:w="1915" w:type="dxa"/>
            <w:noWrap w:val="0"/>
            <w:vAlign w:val="top"/>
          </w:tcPr>
          <w:p w14:paraId="5BC6F5F9">
            <w:pPr>
              <w:spacing w:before="200" w:after="200" w:line="360" w:lineRule="auto"/>
              <w:rPr>
                <w:color w:val="auto"/>
                <w:sz w:val="24"/>
                <w:highlight w:val="none"/>
              </w:rPr>
            </w:pPr>
          </w:p>
        </w:tc>
        <w:tc>
          <w:tcPr>
            <w:tcW w:w="1915" w:type="dxa"/>
            <w:noWrap w:val="0"/>
            <w:vAlign w:val="top"/>
          </w:tcPr>
          <w:p w14:paraId="73A7FC88">
            <w:pPr>
              <w:spacing w:before="200" w:after="200" w:line="360" w:lineRule="auto"/>
              <w:rPr>
                <w:color w:val="auto"/>
                <w:sz w:val="24"/>
                <w:highlight w:val="none"/>
              </w:rPr>
            </w:pPr>
          </w:p>
        </w:tc>
        <w:tc>
          <w:tcPr>
            <w:tcW w:w="1316" w:type="dxa"/>
            <w:noWrap w:val="0"/>
            <w:vAlign w:val="top"/>
          </w:tcPr>
          <w:p w14:paraId="08DE8312">
            <w:pPr>
              <w:spacing w:before="200" w:after="200" w:line="360" w:lineRule="auto"/>
              <w:rPr>
                <w:color w:val="auto"/>
                <w:sz w:val="24"/>
                <w:highlight w:val="none"/>
              </w:rPr>
            </w:pPr>
          </w:p>
        </w:tc>
        <w:tc>
          <w:tcPr>
            <w:tcW w:w="1436" w:type="dxa"/>
            <w:noWrap w:val="0"/>
            <w:vAlign w:val="top"/>
          </w:tcPr>
          <w:p w14:paraId="68ECBE9E">
            <w:pPr>
              <w:spacing w:before="200" w:after="200" w:line="360" w:lineRule="auto"/>
              <w:rPr>
                <w:color w:val="auto"/>
                <w:sz w:val="24"/>
                <w:highlight w:val="none"/>
              </w:rPr>
            </w:pPr>
          </w:p>
        </w:tc>
      </w:tr>
      <w:tr w14:paraId="53C4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5" w:type="dxa"/>
            <w:noWrap w:val="0"/>
            <w:vAlign w:val="top"/>
          </w:tcPr>
          <w:p w14:paraId="3239FD6B">
            <w:pPr>
              <w:spacing w:before="240" w:after="240" w:line="360" w:lineRule="auto"/>
              <w:rPr>
                <w:color w:val="auto"/>
                <w:sz w:val="24"/>
                <w:highlight w:val="none"/>
              </w:rPr>
            </w:pPr>
          </w:p>
        </w:tc>
        <w:tc>
          <w:tcPr>
            <w:tcW w:w="2139" w:type="dxa"/>
            <w:noWrap w:val="0"/>
            <w:vAlign w:val="top"/>
          </w:tcPr>
          <w:p w14:paraId="7CB2142D">
            <w:pPr>
              <w:spacing w:before="240" w:after="240" w:line="360" w:lineRule="auto"/>
              <w:rPr>
                <w:color w:val="auto"/>
                <w:sz w:val="24"/>
                <w:highlight w:val="none"/>
              </w:rPr>
            </w:pPr>
          </w:p>
        </w:tc>
        <w:tc>
          <w:tcPr>
            <w:tcW w:w="1915" w:type="dxa"/>
            <w:noWrap w:val="0"/>
            <w:vAlign w:val="top"/>
          </w:tcPr>
          <w:p w14:paraId="5464D063">
            <w:pPr>
              <w:spacing w:before="200" w:after="200" w:line="360" w:lineRule="auto"/>
              <w:rPr>
                <w:color w:val="auto"/>
                <w:sz w:val="24"/>
                <w:highlight w:val="none"/>
              </w:rPr>
            </w:pPr>
          </w:p>
        </w:tc>
        <w:tc>
          <w:tcPr>
            <w:tcW w:w="1915" w:type="dxa"/>
            <w:noWrap w:val="0"/>
            <w:vAlign w:val="top"/>
          </w:tcPr>
          <w:p w14:paraId="1961BAD0">
            <w:pPr>
              <w:spacing w:before="200" w:after="200" w:line="360" w:lineRule="auto"/>
              <w:rPr>
                <w:color w:val="auto"/>
                <w:sz w:val="24"/>
                <w:highlight w:val="none"/>
              </w:rPr>
            </w:pPr>
          </w:p>
        </w:tc>
        <w:tc>
          <w:tcPr>
            <w:tcW w:w="1316" w:type="dxa"/>
            <w:noWrap w:val="0"/>
            <w:vAlign w:val="top"/>
          </w:tcPr>
          <w:p w14:paraId="32A4F1C9">
            <w:pPr>
              <w:spacing w:before="200" w:after="200" w:line="360" w:lineRule="auto"/>
              <w:rPr>
                <w:color w:val="auto"/>
                <w:sz w:val="24"/>
                <w:highlight w:val="none"/>
              </w:rPr>
            </w:pPr>
          </w:p>
        </w:tc>
        <w:tc>
          <w:tcPr>
            <w:tcW w:w="1436" w:type="dxa"/>
            <w:noWrap w:val="0"/>
            <w:vAlign w:val="top"/>
          </w:tcPr>
          <w:p w14:paraId="02AB2CA3">
            <w:pPr>
              <w:spacing w:before="200" w:after="200" w:line="360" w:lineRule="auto"/>
              <w:rPr>
                <w:color w:val="auto"/>
                <w:sz w:val="24"/>
                <w:highlight w:val="none"/>
              </w:rPr>
            </w:pPr>
          </w:p>
        </w:tc>
      </w:tr>
      <w:tr w14:paraId="3FE7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5" w:type="dxa"/>
            <w:noWrap w:val="0"/>
            <w:vAlign w:val="top"/>
          </w:tcPr>
          <w:p w14:paraId="101DC347">
            <w:pPr>
              <w:spacing w:before="240" w:after="240" w:line="360" w:lineRule="auto"/>
              <w:rPr>
                <w:color w:val="auto"/>
                <w:sz w:val="24"/>
                <w:highlight w:val="none"/>
              </w:rPr>
            </w:pPr>
          </w:p>
        </w:tc>
        <w:tc>
          <w:tcPr>
            <w:tcW w:w="2139" w:type="dxa"/>
            <w:noWrap w:val="0"/>
            <w:vAlign w:val="top"/>
          </w:tcPr>
          <w:p w14:paraId="6D833481">
            <w:pPr>
              <w:spacing w:before="240" w:after="240" w:line="360" w:lineRule="auto"/>
              <w:rPr>
                <w:color w:val="auto"/>
                <w:sz w:val="24"/>
                <w:highlight w:val="none"/>
              </w:rPr>
            </w:pPr>
          </w:p>
        </w:tc>
        <w:tc>
          <w:tcPr>
            <w:tcW w:w="1915" w:type="dxa"/>
            <w:noWrap w:val="0"/>
            <w:vAlign w:val="top"/>
          </w:tcPr>
          <w:p w14:paraId="3BA6CACC">
            <w:pPr>
              <w:spacing w:before="200" w:after="200" w:line="360" w:lineRule="auto"/>
              <w:rPr>
                <w:color w:val="auto"/>
                <w:sz w:val="24"/>
                <w:highlight w:val="none"/>
              </w:rPr>
            </w:pPr>
          </w:p>
        </w:tc>
        <w:tc>
          <w:tcPr>
            <w:tcW w:w="1915" w:type="dxa"/>
            <w:noWrap w:val="0"/>
            <w:vAlign w:val="top"/>
          </w:tcPr>
          <w:p w14:paraId="3929AEE1">
            <w:pPr>
              <w:spacing w:before="200" w:after="200" w:line="360" w:lineRule="auto"/>
              <w:rPr>
                <w:color w:val="auto"/>
                <w:sz w:val="24"/>
                <w:highlight w:val="none"/>
              </w:rPr>
            </w:pPr>
          </w:p>
        </w:tc>
        <w:tc>
          <w:tcPr>
            <w:tcW w:w="1316" w:type="dxa"/>
            <w:noWrap w:val="0"/>
            <w:vAlign w:val="top"/>
          </w:tcPr>
          <w:p w14:paraId="67623EFA">
            <w:pPr>
              <w:spacing w:before="200" w:after="200" w:line="360" w:lineRule="auto"/>
              <w:rPr>
                <w:color w:val="auto"/>
                <w:sz w:val="24"/>
                <w:highlight w:val="none"/>
              </w:rPr>
            </w:pPr>
          </w:p>
        </w:tc>
        <w:tc>
          <w:tcPr>
            <w:tcW w:w="1436" w:type="dxa"/>
            <w:noWrap w:val="0"/>
            <w:vAlign w:val="top"/>
          </w:tcPr>
          <w:p w14:paraId="67434BCB">
            <w:pPr>
              <w:spacing w:before="200" w:after="200" w:line="360" w:lineRule="auto"/>
              <w:rPr>
                <w:color w:val="auto"/>
                <w:sz w:val="24"/>
                <w:highlight w:val="none"/>
              </w:rPr>
            </w:pPr>
          </w:p>
        </w:tc>
      </w:tr>
      <w:tr w14:paraId="7503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5" w:type="dxa"/>
            <w:noWrap w:val="0"/>
            <w:vAlign w:val="top"/>
          </w:tcPr>
          <w:p w14:paraId="25C7FFE6">
            <w:pPr>
              <w:spacing w:before="240" w:after="240" w:line="360" w:lineRule="auto"/>
              <w:rPr>
                <w:color w:val="auto"/>
                <w:sz w:val="24"/>
                <w:highlight w:val="none"/>
              </w:rPr>
            </w:pPr>
          </w:p>
        </w:tc>
        <w:tc>
          <w:tcPr>
            <w:tcW w:w="2139" w:type="dxa"/>
            <w:noWrap w:val="0"/>
            <w:vAlign w:val="top"/>
          </w:tcPr>
          <w:p w14:paraId="60BB0527">
            <w:pPr>
              <w:spacing w:before="240" w:after="240" w:line="360" w:lineRule="auto"/>
              <w:rPr>
                <w:color w:val="auto"/>
                <w:sz w:val="24"/>
                <w:highlight w:val="none"/>
              </w:rPr>
            </w:pPr>
          </w:p>
        </w:tc>
        <w:tc>
          <w:tcPr>
            <w:tcW w:w="1915" w:type="dxa"/>
            <w:noWrap w:val="0"/>
            <w:vAlign w:val="top"/>
          </w:tcPr>
          <w:p w14:paraId="705E4155">
            <w:pPr>
              <w:spacing w:before="200" w:after="200" w:line="360" w:lineRule="auto"/>
              <w:rPr>
                <w:color w:val="auto"/>
                <w:sz w:val="24"/>
                <w:highlight w:val="none"/>
              </w:rPr>
            </w:pPr>
          </w:p>
        </w:tc>
        <w:tc>
          <w:tcPr>
            <w:tcW w:w="1915" w:type="dxa"/>
            <w:noWrap w:val="0"/>
            <w:vAlign w:val="top"/>
          </w:tcPr>
          <w:p w14:paraId="2071F40C">
            <w:pPr>
              <w:spacing w:before="200" w:after="200" w:line="360" w:lineRule="auto"/>
              <w:rPr>
                <w:color w:val="auto"/>
                <w:sz w:val="24"/>
                <w:highlight w:val="none"/>
              </w:rPr>
            </w:pPr>
          </w:p>
        </w:tc>
        <w:tc>
          <w:tcPr>
            <w:tcW w:w="1316" w:type="dxa"/>
            <w:noWrap w:val="0"/>
            <w:vAlign w:val="top"/>
          </w:tcPr>
          <w:p w14:paraId="7F0C4D47">
            <w:pPr>
              <w:spacing w:before="200" w:after="200" w:line="360" w:lineRule="auto"/>
              <w:rPr>
                <w:color w:val="auto"/>
                <w:sz w:val="24"/>
                <w:highlight w:val="none"/>
              </w:rPr>
            </w:pPr>
          </w:p>
        </w:tc>
        <w:tc>
          <w:tcPr>
            <w:tcW w:w="1436" w:type="dxa"/>
            <w:noWrap w:val="0"/>
            <w:vAlign w:val="top"/>
          </w:tcPr>
          <w:p w14:paraId="1733FAB0">
            <w:pPr>
              <w:spacing w:before="200" w:after="200" w:line="360" w:lineRule="auto"/>
              <w:rPr>
                <w:color w:val="auto"/>
                <w:sz w:val="24"/>
                <w:highlight w:val="none"/>
              </w:rPr>
            </w:pPr>
          </w:p>
        </w:tc>
      </w:tr>
    </w:tbl>
    <w:p w14:paraId="22B2E23B">
      <w:pPr>
        <w:spacing w:line="440" w:lineRule="exact"/>
        <w:rPr>
          <w:rFonts w:hint="eastAsia"/>
          <w:color w:val="auto"/>
          <w:sz w:val="24"/>
          <w:highlight w:val="none"/>
        </w:rPr>
      </w:pPr>
      <w:r>
        <w:rPr>
          <w:rFonts w:hint="eastAsia"/>
          <w:color w:val="auto"/>
          <w:sz w:val="24"/>
          <w:highlight w:val="none"/>
        </w:rPr>
        <w:t>说明：</w:t>
      </w:r>
    </w:p>
    <w:p w14:paraId="1508D510">
      <w:pPr>
        <w:spacing w:line="440" w:lineRule="exact"/>
        <w:ind w:firstLine="480" w:firstLineChars="200"/>
        <w:rPr>
          <w:rFonts w:hint="eastAsia"/>
          <w:color w:val="auto"/>
          <w:sz w:val="24"/>
          <w:highlight w:val="none"/>
        </w:rPr>
      </w:pPr>
      <w:r>
        <w:rPr>
          <w:rFonts w:hint="eastAsia" w:hAnsi="宋体"/>
          <w:color w:val="auto"/>
          <w:sz w:val="24"/>
          <w:highlight w:val="none"/>
        </w:rPr>
        <w:t>1、本表只填写投标文件中与招标文件有偏离（包括正偏离和负偏离）的内容，投标文件中技术规格及指标响应与招标文件要求完全一致的，可不在此表中列出。</w:t>
      </w:r>
    </w:p>
    <w:p w14:paraId="0BFBE2A3">
      <w:pPr>
        <w:spacing w:line="440" w:lineRule="exact"/>
        <w:ind w:firstLine="480" w:firstLineChars="200"/>
        <w:rPr>
          <w:color w:val="auto"/>
          <w:sz w:val="24"/>
          <w:highlight w:val="none"/>
        </w:rPr>
      </w:pPr>
      <w:r>
        <w:rPr>
          <w:rFonts w:hint="eastAsia" w:hAnsi="宋体"/>
          <w:color w:val="auto"/>
          <w:sz w:val="24"/>
          <w:highlight w:val="none"/>
        </w:rPr>
        <w:t>2、</w:t>
      </w:r>
      <w:r>
        <w:rPr>
          <w:rFonts w:hint="eastAsia"/>
          <w:color w:val="auto"/>
          <w:sz w:val="24"/>
          <w:highlight w:val="none"/>
        </w:rPr>
        <w:t>本页标注不下可另附表。</w:t>
      </w:r>
    </w:p>
    <w:p w14:paraId="01C299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olor w:val="auto"/>
          <w:sz w:val="24"/>
          <w:highlight w:val="none"/>
        </w:rPr>
      </w:pPr>
    </w:p>
    <w:p w14:paraId="78DE19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color w:val="auto"/>
          <w:sz w:val="24"/>
          <w:highlight w:val="none"/>
          <w:u w:val="single"/>
        </w:rPr>
      </w:pPr>
      <w:r>
        <w:rPr>
          <w:rFonts w:hint="eastAsia" w:hAnsi="宋体"/>
          <w:color w:val="auto"/>
          <w:sz w:val="24"/>
          <w:highlight w:val="none"/>
        </w:rPr>
        <w:t>投标人名称（盖章）：</w:t>
      </w:r>
      <w:r>
        <w:rPr>
          <w:rFonts w:hint="eastAsia" w:hAnsi="宋体"/>
          <w:color w:val="auto"/>
          <w:sz w:val="24"/>
          <w:highlight w:val="none"/>
          <w:u w:val="single"/>
        </w:rPr>
        <w:t xml:space="preserve">                               </w:t>
      </w:r>
    </w:p>
    <w:p w14:paraId="3EF7AB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u w:val="single"/>
        </w:rPr>
      </w:pPr>
      <w:r>
        <w:rPr>
          <w:rFonts w:hint="eastAsia" w:hAnsi="宋体"/>
          <w:color w:val="auto"/>
          <w:sz w:val="24"/>
          <w:highlight w:val="none"/>
        </w:rPr>
        <w:t>法定代表人或授权代理人(签字或盖章)：</w:t>
      </w:r>
      <w:r>
        <w:rPr>
          <w:rFonts w:hAnsi="宋体"/>
          <w:color w:val="auto"/>
          <w:sz w:val="24"/>
          <w:highlight w:val="none"/>
          <w:u w:val="single"/>
        </w:rPr>
        <w:t xml:space="preserve">                </w:t>
      </w:r>
    </w:p>
    <w:p w14:paraId="1DA4DBC9">
      <w:pPr>
        <w:spacing w:line="440" w:lineRule="exact"/>
        <w:ind w:firstLine="3360" w:firstLineChars="1400"/>
        <w:rPr>
          <w:rFonts w:hint="eastAsia" w:hAnsi="宋体"/>
          <w:color w:val="auto"/>
          <w:sz w:val="24"/>
          <w:highlight w:val="none"/>
        </w:rPr>
      </w:pPr>
      <w:r>
        <w:rPr>
          <w:rFonts w:hint="eastAsia" w:hAnsi="宋体"/>
          <w:color w:val="auto"/>
          <w:sz w:val="24"/>
          <w:highlight w:val="none"/>
        </w:rPr>
        <w:t>年  月  日</w:t>
      </w:r>
    </w:p>
    <w:p w14:paraId="389839FB">
      <w:pPr>
        <w:rPr>
          <w:rFonts w:hint="eastAsia" w:hAnsi="宋体"/>
          <w:color w:val="auto"/>
          <w:sz w:val="24"/>
          <w:highlight w:val="none"/>
        </w:rPr>
      </w:pPr>
      <w:r>
        <w:rPr>
          <w:rFonts w:hint="eastAsia" w:hAnsi="宋体"/>
          <w:color w:val="auto"/>
          <w:sz w:val="24"/>
          <w:highlight w:val="none"/>
        </w:rPr>
        <w:br w:type="page"/>
      </w:r>
    </w:p>
    <w:p w14:paraId="0F97AB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color w:val="auto"/>
          <w:sz w:val="24"/>
          <w:highlight w:val="none"/>
        </w:rPr>
      </w:pPr>
      <w:r>
        <w:rPr>
          <w:rFonts w:hint="eastAsia" w:ascii="宋体" w:hAnsi="宋体"/>
          <w:b/>
          <w:color w:val="auto"/>
          <w:sz w:val="28"/>
          <w:szCs w:val="28"/>
          <w:highlight w:val="none"/>
        </w:rPr>
        <w:t>三、商务标格式文件</w:t>
      </w:r>
    </w:p>
    <w:p w14:paraId="16D55990">
      <w:pPr>
        <w:jc w:val="center"/>
        <w:rPr>
          <w:rFonts w:hint="eastAsia" w:eastAsia="黑体"/>
          <w:color w:val="auto"/>
          <w:sz w:val="20"/>
          <w:highlight w:val="none"/>
        </w:rPr>
      </w:pPr>
    </w:p>
    <w:p w14:paraId="3AADDB23">
      <w:pPr>
        <w:rPr>
          <w:rFonts w:hint="eastAsia" w:ascii="宋体"/>
          <w:color w:val="auto"/>
          <w:sz w:val="20"/>
          <w:highlight w:val="none"/>
        </w:rPr>
      </w:pPr>
    </w:p>
    <w:p w14:paraId="316FA899">
      <w:pPr>
        <w:pStyle w:val="2"/>
        <w:rPr>
          <w:rFonts w:hint="eastAsia"/>
          <w:color w:val="auto"/>
          <w:highlight w:val="none"/>
        </w:rPr>
      </w:pPr>
    </w:p>
    <w:p w14:paraId="142F0C0F">
      <w:pPr>
        <w:jc w:val="center"/>
        <w:rPr>
          <w:rFonts w:hint="eastAsia" w:ascii="宋体"/>
          <w:b/>
          <w:color w:val="auto"/>
          <w:sz w:val="44"/>
          <w:szCs w:val="44"/>
          <w:highlight w:val="none"/>
        </w:rPr>
      </w:pPr>
      <w:bookmarkStart w:id="95" w:name="_Toc449028954"/>
      <w:r>
        <w:rPr>
          <w:rFonts w:hint="eastAsia" w:ascii="宋体"/>
          <w:b/>
          <w:color w:val="auto"/>
          <w:sz w:val="44"/>
          <w:szCs w:val="44"/>
          <w:highlight w:val="none"/>
        </w:rPr>
        <w:t>商务标</w:t>
      </w:r>
      <w:bookmarkEnd w:id="95"/>
    </w:p>
    <w:p w14:paraId="1EC7DB9F">
      <w:pPr>
        <w:jc w:val="center"/>
        <w:rPr>
          <w:rFonts w:hint="eastAsia"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4EEE2327">
      <w:pPr>
        <w:jc w:val="center"/>
        <w:rPr>
          <w:rFonts w:hint="eastAsia" w:ascii="宋体"/>
          <w:color w:val="auto"/>
          <w:sz w:val="36"/>
          <w:szCs w:val="36"/>
          <w:highlight w:val="none"/>
        </w:rPr>
      </w:pPr>
    </w:p>
    <w:p w14:paraId="41AD8FA1">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2DD4D2D">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49CB768D">
      <w:pPr>
        <w:rPr>
          <w:rFonts w:hint="eastAsia" w:ascii="宋体"/>
          <w:color w:val="auto"/>
          <w:sz w:val="28"/>
          <w:szCs w:val="28"/>
          <w:highlight w:val="none"/>
        </w:rPr>
      </w:pPr>
    </w:p>
    <w:p w14:paraId="3E5827F0">
      <w:pPr>
        <w:rPr>
          <w:rFonts w:hint="eastAsia" w:ascii="宋体"/>
          <w:color w:val="auto"/>
          <w:sz w:val="28"/>
          <w:szCs w:val="28"/>
          <w:highlight w:val="none"/>
        </w:rPr>
      </w:pPr>
    </w:p>
    <w:p w14:paraId="03451F22">
      <w:pPr>
        <w:rPr>
          <w:rFonts w:hint="eastAsia" w:ascii="宋体"/>
          <w:color w:val="auto"/>
          <w:sz w:val="28"/>
          <w:szCs w:val="28"/>
          <w:highlight w:val="none"/>
        </w:rPr>
      </w:pPr>
    </w:p>
    <w:p w14:paraId="02C458B2">
      <w:pPr>
        <w:rPr>
          <w:rFonts w:hint="eastAsia" w:ascii="宋体"/>
          <w:color w:val="auto"/>
          <w:sz w:val="28"/>
          <w:szCs w:val="28"/>
          <w:highlight w:val="none"/>
        </w:rPr>
      </w:pPr>
    </w:p>
    <w:p w14:paraId="4CC77204">
      <w:pPr>
        <w:rPr>
          <w:rFonts w:hint="eastAsia" w:ascii="宋体"/>
          <w:color w:val="auto"/>
          <w:sz w:val="28"/>
          <w:szCs w:val="28"/>
          <w:highlight w:val="none"/>
        </w:rPr>
      </w:pPr>
    </w:p>
    <w:p w14:paraId="762EB260">
      <w:pPr>
        <w:rPr>
          <w:rFonts w:hint="eastAsia" w:ascii="宋体"/>
          <w:color w:val="auto"/>
          <w:sz w:val="28"/>
          <w:szCs w:val="28"/>
          <w:highlight w:val="none"/>
        </w:rPr>
      </w:pPr>
    </w:p>
    <w:p w14:paraId="5FC3E43B">
      <w:pPr>
        <w:rPr>
          <w:rFonts w:hint="eastAsia" w:ascii="宋体"/>
          <w:color w:val="auto"/>
          <w:sz w:val="28"/>
          <w:szCs w:val="28"/>
          <w:highlight w:val="none"/>
        </w:rPr>
      </w:pPr>
    </w:p>
    <w:p w14:paraId="7DBEA1A5">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314047E1">
      <w:pPr>
        <w:ind w:firstLine="700" w:firstLineChars="25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7D2AF94F">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4703346">
      <w:pPr>
        <w:spacing w:line="720" w:lineRule="auto"/>
        <w:jc w:val="center"/>
        <w:rPr>
          <w:rFonts w:hint="eastAsia" w:ascii="宋体"/>
          <w:b/>
          <w:color w:val="auto"/>
          <w:sz w:val="36"/>
          <w:szCs w:val="36"/>
          <w:highlight w:val="none"/>
        </w:rPr>
      </w:pPr>
    </w:p>
    <w:p w14:paraId="46CCA5B5">
      <w:pPr>
        <w:spacing w:line="400" w:lineRule="exact"/>
        <w:ind w:firstLine="562" w:firstLineChars="200"/>
        <w:rPr>
          <w:rFonts w:hint="eastAsia"/>
          <w:b/>
          <w:color w:val="auto"/>
          <w:sz w:val="28"/>
          <w:szCs w:val="28"/>
          <w:highlight w:val="none"/>
        </w:rPr>
      </w:pPr>
    </w:p>
    <w:p w14:paraId="149916BD">
      <w:pPr>
        <w:spacing w:line="400" w:lineRule="exact"/>
        <w:ind w:firstLine="562" w:firstLineChars="200"/>
        <w:rPr>
          <w:rFonts w:hint="eastAsia"/>
          <w:b/>
          <w:color w:val="auto"/>
          <w:sz w:val="28"/>
          <w:szCs w:val="28"/>
          <w:highlight w:val="none"/>
        </w:rPr>
      </w:pPr>
    </w:p>
    <w:p w14:paraId="6D1E17F6">
      <w:pPr>
        <w:spacing w:line="400" w:lineRule="exact"/>
        <w:ind w:firstLine="2628" w:firstLineChars="935"/>
        <w:rPr>
          <w:rFonts w:hint="eastAsia"/>
          <w:b/>
          <w:color w:val="auto"/>
          <w:sz w:val="28"/>
          <w:szCs w:val="28"/>
          <w:highlight w:val="none"/>
        </w:rPr>
      </w:pPr>
      <w:r>
        <w:rPr>
          <w:rFonts w:hint="eastAsia"/>
          <w:b/>
          <w:color w:val="auto"/>
          <w:sz w:val="28"/>
          <w:szCs w:val="28"/>
          <w:highlight w:val="none"/>
        </w:rPr>
        <w:t xml:space="preserve">     </w:t>
      </w:r>
    </w:p>
    <w:p w14:paraId="0A906409">
      <w:pPr>
        <w:spacing w:line="400" w:lineRule="exact"/>
        <w:jc w:val="center"/>
        <w:rPr>
          <w:rFonts w:hint="eastAsia"/>
          <w:b/>
          <w:color w:val="auto"/>
          <w:sz w:val="36"/>
          <w:szCs w:val="36"/>
          <w:highlight w:val="none"/>
        </w:rPr>
      </w:pPr>
      <w:r>
        <w:rPr>
          <w:b/>
          <w:color w:val="auto"/>
          <w:sz w:val="36"/>
          <w:szCs w:val="36"/>
          <w:highlight w:val="none"/>
        </w:rPr>
        <w:br w:type="page"/>
      </w:r>
      <w:r>
        <w:rPr>
          <w:rFonts w:hint="eastAsia"/>
          <w:b/>
          <w:color w:val="auto"/>
          <w:sz w:val="36"/>
          <w:szCs w:val="36"/>
          <w:highlight w:val="none"/>
        </w:rPr>
        <w:t>目   录</w:t>
      </w:r>
    </w:p>
    <w:p w14:paraId="7D1E28AB">
      <w:pPr>
        <w:spacing w:line="400" w:lineRule="exact"/>
        <w:ind w:firstLine="4130" w:firstLineChars="935"/>
        <w:rPr>
          <w:rFonts w:hint="eastAsia"/>
          <w:b/>
          <w:color w:val="auto"/>
          <w:sz w:val="44"/>
          <w:szCs w:val="44"/>
          <w:highlight w:val="none"/>
        </w:rPr>
      </w:pPr>
    </w:p>
    <w:p w14:paraId="39B54F1B">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color w:val="auto"/>
          <w:szCs w:val="21"/>
          <w:highlight w:val="none"/>
        </w:rPr>
      </w:pPr>
      <w:r>
        <w:rPr>
          <w:rFonts w:hint="eastAsia" w:ascii="宋体"/>
          <w:color w:val="auto"/>
          <w:szCs w:val="21"/>
          <w:highlight w:val="none"/>
        </w:rPr>
        <w:t>（1）开标一览表（格式见附件）；</w:t>
      </w:r>
    </w:p>
    <w:p w14:paraId="6CA2C6AB">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color w:val="auto"/>
          <w:szCs w:val="21"/>
          <w:highlight w:val="none"/>
        </w:rPr>
      </w:pPr>
      <w:r>
        <w:rPr>
          <w:rFonts w:hint="eastAsia" w:ascii="宋体"/>
          <w:color w:val="auto"/>
          <w:szCs w:val="21"/>
          <w:highlight w:val="none"/>
        </w:rPr>
        <w:t>（2）投标函（格式见附件）；</w:t>
      </w:r>
    </w:p>
    <w:p w14:paraId="403F8A14">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color w:val="auto"/>
          <w:szCs w:val="21"/>
          <w:highlight w:val="none"/>
        </w:rPr>
      </w:pPr>
      <w:r>
        <w:rPr>
          <w:rFonts w:hint="eastAsia" w:ascii="宋体"/>
          <w:color w:val="auto"/>
          <w:szCs w:val="21"/>
          <w:highlight w:val="none"/>
        </w:rPr>
        <w:t>（3）分项报价</w:t>
      </w:r>
      <w:r>
        <w:rPr>
          <w:rFonts w:hint="eastAsia" w:ascii="宋体"/>
          <w:color w:val="auto"/>
          <w:szCs w:val="21"/>
          <w:highlight w:val="none"/>
          <w:lang w:val="en-US" w:eastAsia="zh-CN"/>
        </w:rPr>
        <w:t>清单</w:t>
      </w:r>
      <w:r>
        <w:rPr>
          <w:rFonts w:hint="eastAsia" w:ascii="宋体"/>
          <w:color w:val="auto"/>
          <w:szCs w:val="21"/>
          <w:highlight w:val="none"/>
        </w:rPr>
        <w:t>（格式见附件）；</w:t>
      </w:r>
    </w:p>
    <w:p w14:paraId="0C770AFE">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color w:val="auto"/>
          <w:szCs w:val="21"/>
          <w:highlight w:val="none"/>
        </w:rPr>
      </w:pPr>
      <w:r>
        <w:rPr>
          <w:rFonts w:hint="eastAsia" w:ascii="宋体"/>
          <w:color w:val="auto"/>
          <w:szCs w:val="21"/>
          <w:highlight w:val="none"/>
        </w:rPr>
        <w:t>（4）投标人认为需要提供的其他材料（如有）。</w:t>
      </w:r>
    </w:p>
    <w:p w14:paraId="3E539B66">
      <w:pPr>
        <w:keepNext w:val="0"/>
        <w:keepLines w:val="0"/>
        <w:pageBreakBefore w:val="0"/>
        <w:widowControl w:val="0"/>
        <w:kinsoku/>
        <w:wordWrap/>
        <w:overflowPunct/>
        <w:topLinePunct w:val="0"/>
        <w:autoSpaceDE/>
        <w:autoSpaceDN/>
        <w:bidi w:val="0"/>
        <w:adjustRightInd/>
        <w:snapToGrid/>
        <w:spacing w:line="420" w:lineRule="exact"/>
        <w:ind w:left="0" w:firstLine="422" w:firstLineChars="200"/>
        <w:textAlignment w:val="auto"/>
        <w:rPr>
          <w:rFonts w:hint="eastAsia" w:ascii="宋体" w:hAnsi="宋体" w:eastAsia="宋体"/>
          <w:b/>
          <w:bCs/>
          <w:color w:val="auto"/>
          <w:szCs w:val="21"/>
          <w:highlight w:val="none"/>
          <w:lang w:val="en-US" w:eastAsia="zh-CN"/>
        </w:rPr>
      </w:pPr>
      <w:r>
        <w:rPr>
          <w:rFonts w:hint="eastAsia" w:ascii="宋体"/>
          <w:b/>
          <w:bCs/>
          <w:color w:val="auto"/>
          <w:szCs w:val="21"/>
          <w:highlight w:val="none"/>
          <w:lang w:val="en-US" w:eastAsia="zh-CN"/>
        </w:rPr>
        <w:t>备注：商务标所需材料均上传至系统中投标函栏目中。</w:t>
      </w:r>
      <w:r>
        <w:rPr>
          <w:rFonts w:hint="eastAsia" w:ascii="宋体" w:hAnsi="宋体" w:eastAsia="宋体"/>
          <w:b/>
          <w:bCs/>
          <w:color w:val="auto"/>
          <w:szCs w:val="21"/>
          <w:highlight w:val="none"/>
          <w:lang w:val="en-US" w:eastAsia="zh-CN"/>
        </w:rPr>
        <w:br w:type="page"/>
      </w:r>
    </w:p>
    <w:p w14:paraId="08B107C2">
      <w:pPr>
        <w:spacing w:line="360" w:lineRule="auto"/>
        <w:rPr>
          <w:rFonts w:hint="eastAsia"/>
          <w:b/>
          <w:color w:val="auto"/>
          <w:sz w:val="28"/>
          <w:szCs w:val="28"/>
          <w:highlight w:val="none"/>
        </w:rPr>
      </w:pPr>
      <w:bookmarkStart w:id="96" w:name="_Toc5348"/>
      <w:bookmarkStart w:id="97" w:name="_Toc10230"/>
      <w:r>
        <w:rPr>
          <w:rFonts w:hint="eastAsia"/>
          <w:b/>
          <w:color w:val="auto"/>
          <w:sz w:val="28"/>
          <w:szCs w:val="28"/>
          <w:highlight w:val="none"/>
        </w:rPr>
        <w:t>附件1</w:t>
      </w:r>
      <w:bookmarkEnd w:id="96"/>
      <w:bookmarkEnd w:id="97"/>
    </w:p>
    <w:p w14:paraId="0FEA1935">
      <w:pPr>
        <w:spacing w:line="360" w:lineRule="exact"/>
        <w:ind w:firstLine="472" w:firstLineChars="147"/>
        <w:jc w:val="center"/>
        <w:rPr>
          <w:rFonts w:hint="eastAsia" w:ascii="宋体"/>
          <w:b/>
          <w:color w:val="auto"/>
          <w:sz w:val="32"/>
          <w:szCs w:val="32"/>
          <w:highlight w:val="none"/>
        </w:rPr>
      </w:pPr>
    </w:p>
    <w:p w14:paraId="29BE89BB">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开标一览表</w:t>
      </w:r>
    </w:p>
    <w:p w14:paraId="71139698">
      <w:pPr>
        <w:spacing w:line="360" w:lineRule="exact"/>
        <w:ind w:firstLine="354" w:firstLineChars="147"/>
        <w:rPr>
          <w:rFonts w:hint="eastAsia" w:ascii="宋体"/>
          <w:b/>
          <w:color w:val="auto"/>
          <w:sz w:val="24"/>
          <w:highlight w:val="none"/>
        </w:rPr>
      </w:pPr>
    </w:p>
    <w:p w14:paraId="1AD307D1">
      <w:pPr>
        <w:spacing w:line="360" w:lineRule="exact"/>
        <w:ind w:firstLine="240" w:firstLineChars="100"/>
        <w:rPr>
          <w:rFonts w:hint="eastAsia" w:ascii="宋体"/>
          <w:color w:val="auto"/>
          <w:sz w:val="24"/>
          <w:highlight w:val="none"/>
        </w:rPr>
      </w:pPr>
      <w:r>
        <w:rPr>
          <w:rFonts w:hint="eastAsia" w:ascii="宋体"/>
          <w:color w:val="auto"/>
          <w:sz w:val="24"/>
          <w:highlight w:val="none"/>
        </w:rPr>
        <w:t>（注：开标一览表必须编入投标文件，唱标时，以投标文件中的开标一览表进行唱标）</w:t>
      </w:r>
    </w:p>
    <w:tbl>
      <w:tblPr>
        <w:tblStyle w:val="23"/>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188C1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noWrap w:val="0"/>
            <w:vAlign w:val="center"/>
          </w:tcPr>
          <w:p w14:paraId="55C0D5EA">
            <w:pPr>
              <w:spacing w:line="46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2B3E7B35">
            <w:pPr>
              <w:spacing w:line="360" w:lineRule="auto"/>
              <w:jc w:val="left"/>
              <w:rPr>
                <w:rFonts w:hint="eastAsia"/>
                <w:color w:val="auto"/>
                <w:sz w:val="24"/>
                <w:highlight w:val="none"/>
              </w:rPr>
            </w:pPr>
          </w:p>
        </w:tc>
      </w:tr>
      <w:tr w14:paraId="2C86D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3B80B0D1">
            <w:pPr>
              <w:spacing w:line="46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34D5C917">
            <w:pPr>
              <w:rPr>
                <w:rFonts w:hint="eastAsia" w:ascii="宋体"/>
                <w:color w:val="auto"/>
                <w:sz w:val="24"/>
                <w:highlight w:val="none"/>
              </w:rPr>
            </w:pPr>
          </w:p>
        </w:tc>
      </w:tr>
      <w:tr w14:paraId="613B4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1B19B94B">
            <w:pPr>
              <w:spacing w:line="46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46B9F556">
            <w:pPr>
              <w:pStyle w:val="15"/>
              <w:spacing w:line="460" w:lineRule="exact"/>
              <w:ind w:left="86" w:leftChars="41"/>
              <w:rPr>
                <w:rFonts w:hint="eastAsia" w:ascii="宋体" w:eastAsia="宋体"/>
                <w:color w:val="auto"/>
                <w:sz w:val="24"/>
                <w:szCs w:val="24"/>
                <w:highlight w:val="none"/>
              </w:rPr>
            </w:pPr>
          </w:p>
        </w:tc>
      </w:tr>
      <w:tr w14:paraId="210B5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noWrap w:val="0"/>
            <w:vAlign w:val="center"/>
          </w:tcPr>
          <w:p w14:paraId="5B1D3352">
            <w:pPr>
              <w:spacing w:line="360" w:lineRule="auto"/>
              <w:jc w:val="center"/>
              <w:rPr>
                <w:rFonts w:ascii="宋体"/>
                <w:color w:val="auto"/>
                <w:sz w:val="24"/>
                <w:highlight w:val="none"/>
              </w:rPr>
            </w:pPr>
            <w:r>
              <w:rPr>
                <w:rFonts w:hint="eastAsia" w:ascii="宋体"/>
                <w:color w:val="auto"/>
                <w:sz w:val="24"/>
                <w:highlight w:val="none"/>
              </w:rPr>
              <w:t>投标报价\供货（服务）期</w:t>
            </w:r>
          </w:p>
        </w:tc>
        <w:tc>
          <w:tcPr>
            <w:tcW w:w="6952" w:type="dxa"/>
            <w:tcBorders>
              <w:left w:val="single" w:color="auto" w:sz="12" w:space="0"/>
            </w:tcBorders>
            <w:noWrap w:val="0"/>
            <w:vAlign w:val="center"/>
          </w:tcPr>
          <w:p w14:paraId="5149C1CE">
            <w:pPr>
              <w:spacing w:line="360" w:lineRule="auto"/>
              <w:rPr>
                <w:rFonts w:hint="eastAsia" w:ascii="宋体"/>
                <w:color w:val="auto"/>
                <w:sz w:val="24"/>
                <w:highlight w:val="none"/>
              </w:rPr>
            </w:pPr>
            <w:r>
              <w:rPr>
                <w:rFonts w:hint="eastAsia" w:ascii="宋体"/>
                <w:color w:val="auto"/>
                <w:sz w:val="24"/>
                <w:highlight w:val="none"/>
              </w:rPr>
              <w:t>投标报价 （大写）：</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p>
          <w:p w14:paraId="2A4B0C32">
            <w:pPr>
              <w:spacing w:line="360" w:lineRule="auto"/>
              <w:ind w:firstLine="1058" w:firstLineChars="441"/>
              <w:rPr>
                <w:rFonts w:hint="eastAsia" w:ascii="宋体"/>
                <w:color w:val="auto"/>
                <w:sz w:val="24"/>
                <w:highlight w:val="none"/>
              </w:rPr>
            </w:pPr>
            <w:r>
              <w:rPr>
                <w:rFonts w:hint="eastAsia" w:ascii="宋体"/>
                <w:color w:val="auto"/>
                <w:sz w:val="24"/>
                <w:highlight w:val="none"/>
              </w:rPr>
              <w:t>（小写）：</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p>
          <w:p w14:paraId="1FC21978">
            <w:pPr>
              <w:spacing w:line="360" w:lineRule="auto"/>
              <w:rPr>
                <w:rFonts w:hint="eastAsia"/>
                <w:color w:val="auto"/>
                <w:sz w:val="24"/>
                <w:highlight w:val="none"/>
              </w:rPr>
            </w:pPr>
            <w:r>
              <w:rPr>
                <w:rFonts w:hint="eastAsia" w:ascii="宋体"/>
                <w:color w:val="auto"/>
                <w:sz w:val="24"/>
                <w:highlight w:val="none"/>
              </w:rPr>
              <w:t>供货（服务）期</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供货期暂定365日历天（供货期内按招标人需求分批次供货，接到招标人每批次供货需求后7日历天内交付至招标人指定地点）</w:t>
            </w:r>
            <w:r>
              <w:rPr>
                <w:rFonts w:hint="eastAsia" w:ascii="宋体" w:hAnsi="宋体" w:eastAsia="宋体" w:cs="Times New Roman"/>
                <w:color w:val="auto"/>
                <w:sz w:val="24"/>
                <w:highlight w:val="none"/>
              </w:rPr>
              <w:t>。</w:t>
            </w:r>
          </w:p>
        </w:tc>
      </w:tr>
    </w:tbl>
    <w:p w14:paraId="294A58FD">
      <w:pPr>
        <w:snapToGrid w:val="0"/>
        <w:spacing w:line="460" w:lineRule="exact"/>
        <w:ind w:left="2940" w:leftChars="1400" w:firstLine="723" w:firstLineChars="300"/>
        <w:rPr>
          <w:rFonts w:hint="eastAsia" w:ascii="宋体"/>
          <w:b/>
          <w:color w:val="auto"/>
          <w:sz w:val="24"/>
          <w:highlight w:val="none"/>
        </w:rPr>
      </w:pPr>
    </w:p>
    <w:p w14:paraId="5DE624AB">
      <w:pPr>
        <w:rPr>
          <w:rFonts w:hint="eastAsia" w:ascii="宋体"/>
          <w:color w:val="auto"/>
          <w:sz w:val="24"/>
          <w:highlight w:val="none"/>
        </w:rPr>
      </w:pPr>
      <w:r>
        <w:rPr>
          <w:rFonts w:hint="eastAsia" w:ascii="宋体"/>
          <w:color w:val="auto"/>
          <w:sz w:val="24"/>
          <w:highlight w:val="none"/>
        </w:rPr>
        <w:t>法定代表人或委托代理人（签字或盖章）：         投标人（签章）：</w:t>
      </w:r>
    </w:p>
    <w:p w14:paraId="70301329">
      <w:pPr>
        <w:snapToGrid w:val="0"/>
        <w:spacing w:before="312" w:beforeLines="100" w:after="312" w:afterLines="100" w:line="360" w:lineRule="auto"/>
        <w:jc w:val="center"/>
        <w:rPr>
          <w:rFonts w:hint="eastAsia" w:ascii="宋体"/>
          <w:color w:val="auto"/>
          <w:sz w:val="24"/>
          <w:highlight w:val="none"/>
        </w:r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日</w:t>
      </w:r>
    </w:p>
    <w:p w14:paraId="326CA1BC">
      <w:pPr>
        <w:rPr>
          <w:rFonts w:hint="eastAsia" w:ascii="宋体"/>
          <w:color w:val="auto"/>
          <w:sz w:val="24"/>
          <w:highlight w:val="none"/>
        </w:rPr>
      </w:pPr>
      <w:r>
        <w:rPr>
          <w:rFonts w:hint="eastAsia" w:ascii="宋体"/>
          <w:color w:val="auto"/>
          <w:sz w:val="24"/>
          <w:highlight w:val="none"/>
        </w:rPr>
        <w:br w:type="page"/>
      </w:r>
    </w:p>
    <w:p w14:paraId="3A804868">
      <w:pPr>
        <w:spacing w:line="360" w:lineRule="auto"/>
        <w:rPr>
          <w:rFonts w:hint="eastAsia"/>
          <w:b/>
          <w:color w:val="auto"/>
          <w:sz w:val="28"/>
          <w:szCs w:val="28"/>
          <w:highlight w:val="none"/>
        </w:rPr>
      </w:pPr>
      <w:r>
        <w:rPr>
          <w:rFonts w:hint="eastAsia"/>
          <w:b/>
          <w:color w:val="auto"/>
          <w:sz w:val="28"/>
          <w:szCs w:val="28"/>
          <w:highlight w:val="none"/>
        </w:rPr>
        <w:t>附件2</w:t>
      </w:r>
    </w:p>
    <w:p w14:paraId="1A7FD9E0">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19669108">
      <w:pPr>
        <w:spacing w:line="440" w:lineRule="exact"/>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 xml:space="preserve">)       </w:t>
      </w:r>
      <w:r>
        <w:rPr>
          <w:rFonts w:hint="eastAsia" w:ascii="宋体"/>
          <w:color w:val="auto"/>
          <w:sz w:val="24"/>
          <w:highlight w:val="none"/>
        </w:rPr>
        <w:t xml:space="preserve"> </w:t>
      </w:r>
    </w:p>
    <w:p w14:paraId="307DCA65">
      <w:pPr>
        <w:spacing w:line="440" w:lineRule="exact"/>
        <w:ind w:firstLine="480" w:firstLineChars="200"/>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（编号：</w:t>
      </w:r>
      <w:r>
        <w:rPr>
          <w:rFonts w:hint="eastAsia" w:ascii="宋体"/>
          <w:color w:val="auto"/>
          <w:sz w:val="24"/>
          <w:highlight w:val="none"/>
          <w:u w:val="single"/>
        </w:rPr>
        <w:t xml:space="preserve">             </w:t>
      </w:r>
      <w:r>
        <w:rPr>
          <w:rFonts w:hint="eastAsia" w:ascii="宋体"/>
          <w:color w:val="auto"/>
          <w:sz w:val="24"/>
          <w:highlight w:val="none"/>
        </w:rPr>
        <w:t>）”的</w:t>
      </w:r>
      <w:r>
        <w:rPr>
          <w:rFonts w:hint="eastAsia" w:ascii="宋体"/>
          <w:color w:val="auto"/>
          <w:sz w:val="24"/>
          <w:highlight w:val="none"/>
          <w:lang w:eastAsia="zh-CN"/>
        </w:rPr>
        <w:t>招标</w:t>
      </w:r>
      <w:r>
        <w:rPr>
          <w:rFonts w:hint="eastAsia" w:ascii="宋体"/>
          <w:color w:val="auto"/>
          <w:sz w:val="24"/>
          <w:highlight w:val="none"/>
        </w:rPr>
        <w:t xml:space="preserve">。我方授权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（投标单位的名称）全权处理本项目投标的有关事宜。</w:t>
      </w:r>
    </w:p>
    <w:p w14:paraId="3E7A5C6D">
      <w:pPr>
        <w:spacing w:line="440" w:lineRule="exact"/>
        <w:ind w:firstLine="480" w:firstLineChars="200"/>
        <w:rPr>
          <w:rFonts w:hint="eastAsia" w:ascii="宋体" w:hAnsi="宋体" w:cs="宋体"/>
          <w:color w:val="auto"/>
          <w:sz w:val="24"/>
          <w:highlight w:val="none"/>
        </w:rPr>
      </w:pPr>
      <w:r>
        <w:rPr>
          <w:rFonts w:hint="eastAsia" w:ascii="宋体"/>
          <w:color w:val="auto"/>
          <w:sz w:val="24"/>
          <w:highlight w:val="none"/>
        </w:rPr>
        <w:t>2、我方愿意按照招标文件规定的各项要求，向</w:t>
      </w:r>
      <w:r>
        <w:rPr>
          <w:rFonts w:hint="eastAsia" w:ascii="宋体"/>
          <w:color w:val="auto"/>
          <w:sz w:val="24"/>
          <w:highlight w:val="none"/>
          <w:lang w:eastAsia="zh-CN"/>
        </w:rPr>
        <w:t>招标人</w:t>
      </w:r>
      <w:r>
        <w:rPr>
          <w:rFonts w:hint="eastAsia" w:ascii="宋体"/>
          <w:color w:val="auto"/>
          <w:sz w:val="24"/>
          <w:highlight w:val="none"/>
        </w:rPr>
        <w:t xml:space="preserve">提供“ </w:t>
      </w:r>
      <w:r>
        <w:rPr>
          <w:rFonts w:hint="eastAsia" w:ascii="宋体"/>
          <w:color w:val="auto"/>
          <w:sz w:val="24"/>
          <w:highlight w:val="none"/>
          <w:u w:val="single"/>
        </w:rPr>
        <w:t xml:space="preserve">          </w:t>
      </w:r>
      <w:r>
        <w:rPr>
          <w:rFonts w:hint="eastAsia" w:ascii="宋体"/>
          <w:color w:val="auto"/>
          <w:sz w:val="24"/>
          <w:highlight w:val="none"/>
        </w:rPr>
        <w:t>（项目编号：</w:t>
      </w:r>
      <w:r>
        <w:rPr>
          <w:rFonts w:hint="eastAsia" w:ascii="宋体"/>
          <w:color w:val="auto"/>
          <w:sz w:val="24"/>
          <w:highlight w:val="none"/>
          <w:u w:val="single"/>
        </w:rPr>
        <w:t xml:space="preserve">          </w:t>
      </w:r>
      <w:r>
        <w:rPr>
          <w:rFonts w:hint="eastAsia" w:ascii="宋体"/>
          <w:color w:val="auto"/>
          <w:sz w:val="24"/>
          <w:highlight w:val="none"/>
        </w:rPr>
        <w:t>）”项目的货物与服务，</w:t>
      </w:r>
      <w:r>
        <w:rPr>
          <w:rFonts w:hint="eastAsia" w:ascii="宋体"/>
          <w:color w:val="auto"/>
          <w:sz w:val="24"/>
          <w:highlight w:val="none"/>
          <w:lang w:val="en-US" w:eastAsia="zh-CN"/>
        </w:rPr>
        <w:t>总</w:t>
      </w:r>
      <w:r>
        <w:rPr>
          <w:rFonts w:hint="eastAsia" w:ascii="宋体"/>
          <w:color w:val="auto"/>
          <w:sz w:val="24"/>
          <w:highlight w:val="none"/>
        </w:rPr>
        <w:t>投标报价为（大写）</w:t>
      </w:r>
      <w:r>
        <w:rPr>
          <w:rFonts w:hint="eastAsia" w:ascii="宋体"/>
          <w:color w:val="auto"/>
          <w:sz w:val="24"/>
          <w:highlight w:val="none"/>
          <w:u w:val="single"/>
        </w:rPr>
        <w:t xml:space="preserve">             </w:t>
      </w:r>
      <w:r>
        <w:rPr>
          <w:rFonts w:hint="eastAsia" w:ascii="宋体"/>
          <w:color w:val="auto"/>
          <w:sz w:val="24"/>
          <w:highlight w:val="none"/>
        </w:rPr>
        <w:t xml:space="preserve"> ；供货（服务）期 ：</w:t>
      </w:r>
      <w:r>
        <w:rPr>
          <w:rFonts w:hint="eastAsia" w:ascii="宋体"/>
          <w:color w:val="auto"/>
          <w:sz w:val="24"/>
          <w:highlight w:val="none"/>
          <w:lang w:val="en-US" w:eastAsia="zh-CN"/>
        </w:rPr>
        <w:t>供货期暂定365日历天（供货期内按招标人需求分批次供货，接到招标人每批次供货需求后7日历天内交付至招标人指定地点）</w:t>
      </w:r>
      <w:r>
        <w:rPr>
          <w:rFonts w:hint="eastAsia" w:ascii="宋体"/>
          <w:color w:val="auto"/>
          <w:sz w:val="24"/>
          <w:highlight w:val="none"/>
        </w:rPr>
        <w:t>。</w:t>
      </w:r>
    </w:p>
    <w:p w14:paraId="707DC760">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00C1C270">
      <w:pPr>
        <w:spacing w:line="440" w:lineRule="exact"/>
        <w:ind w:firstLine="480" w:firstLineChars="200"/>
        <w:rPr>
          <w:rFonts w:hint="eastAsia" w:ascii="宋体"/>
          <w:color w:val="auto"/>
          <w:sz w:val="24"/>
          <w:highlight w:val="none"/>
        </w:rPr>
      </w:pPr>
      <w:r>
        <w:rPr>
          <w:rFonts w:hint="eastAsia" w:ascii="宋体"/>
          <w:color w:val="auto"/>
          <w:sz w:val="24"/>
          <w:highlight w:val="none"/>
        </w:rPr>
        <w:t>4.若我方中标，愿意为本项目提交纸质投标文件一式</w:t>
      </w:r>
      <w:r>
        <w:rPr>
          <w:rFonts w:hint="eastAsia" w:ascii="宋体"/>
          <w:color w:val="auto"/>
          <w:sz w:val="24"/>
          <w:highlight w:val="none"/>
          <w:lang w:val="en-US" w:eastAsia="zh-CN"/>
        </w:rPr>
        <w:t>三</w:t>
      </w:r>
      <w:r>
        <w:rPr>
          <w:rFonts w:hint="eastAsia" w:ascii="宋体"/>
          <w:color w:val="auto"/>
          <w:sz w:val="24"/>
          <w:highlight w:val="none"/>
        </w:rPr>
        <w:t>份。</w:t>
      </w:r>
    </w:p>
    <w:p w14:paraId="2DCA1F75">
      <w:pPr>
        <w:spacing w:line="440" w:lineRule="exact"/>
        <w:ind w:firstLine="480" w:firstLineChars="200"/>
        <w:rPr>
          <w:rFonts w:hint="eastAsia" w:ascii="宋体"/>
          <w:color w:val="auto"/>
          <w:sz w:val="24"/>
          <w:highlight w:val="none"/>
        </w:rPr>
      </w:pPr>
      <w:r>
        <w:rPr>
          <w:rFonts w:hint="eastAsia" w:ascii="宋体"/>
          <w:color w:val="auto"/>
          <w:sz w:val="24"/>
          <w:highlight w:val="none"/>
        </w:rPr>
        <w:t>5.我方愿意提供可能另外要求的、与</w:t>
      </w:r>
      <w:r>
        <w:rPr>
          <w:rFonts w:hint="eastAsia" w:ascii="宋体"/>
          <w:color w:val="auto"/>
          <w:sz w:val="24"/>
          <w:highlight w:val="none"/>
          <w:lang w:eastAsia="zh-CN"/>
        </w:rPr>
        <w:t>招标</w:t>
      </w:r>
      <w:r>
        <w:rPr>
          <w:rFonts w:hint="eastAsia" w:ascii="宋体"/>
          <w:color w:val="auto"/>
          <w:sz w:val="24"/>
          <w:highlight w:val="none"/>
        </w:rPr>
        <w:t>投标有关的文件资料，并保证我方已提供和将要提供的文件是真实的、准确的。</w:t>
      </w:r>
    </w:p>
    <w:p w14:paraId="636AD7D5">
      <w:pPr>
        <w:pStyle w:val="2"/>
        <w:spacing w:after="0" w:line="440" w:lineRule="exact"/>
        <w:ind w:left="0" w:leftChars="0" w:firstLine="480"/>
        <w:jc w:val="left"/>
        <w:rPr>
          <w:rFonts w:hint="eastAsia"/>
          <w:color w:val="auto"/>
          <w:sz w:val="24"/>
          <w:highlight w:val="none"/>
        </w:rPr>
      </w:pPr>
      <w:r>
        <w:rPr>
          <w:rFonts w:hint="eastAsia" w:ascii="宋体"/>
          <w:color w:val="auto"/>
          <w:sz w:val="24"/>
          <w:highlight w:val="none"/>
        </w:rPr>
        <w:t>6、投标有效期为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90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357B9438">
      <w:pPr>
        <w:spacing w:line="440" w:lineRule="exact"/>
        <w:ind w:firstLine="480" w:firstLineChars="200"/>
        <w:rPr>
          <w:rFonts w:hint="eastAsia" w:ascii="宋体"/>
          <w:color w:val="auto"/>
          <w:sz w:val="24"/>
          <w:highlight w:val="none"/>
        </w:rPr>
      </w:pPr>
      <w:r>
        <w:rPr>
          <w:rFonts w:hint="eastAsia" w:ascii="宋体"/>
          <w:color w:val="auto"/>
          <w:sz w:val="24"/>
          <w:highlight w:val="none"/>
        </w:rPr>
        <w:t xml:space="preserve">7、我单位提供如下通讯地址： </w:t>
      </w:r>
      <w:r>
        <w:rPr>
          <w:rFonts w:hint="eastAsia" w:ascii="宋体"/>
          <w:color w:val="auto"/>
          <w:sz w:val="24"/>
          <w:highlight w:val="none"/>
          <w:u w:val="single"/>
        </w:rPr>
        <w:t xml:space="preserve">               </w:t>
      </w:r>
      <w:r>
        <w:rPr>
          <w:rFonts w:hint="eastAsia" w:ascii="宋体"/>
          <w:color w:val="auto"/>
          <w:sz w:val="24"/>
          <w:highlight w:val="none"/>
        </w:rPr>
        <w:t>电子邮箱（地址），确认本项目相关法律文书均通过提供的以上地址送达，相关文书只要发送至以上电子邮箱（地址）即视为送达，投标人愿意承担一切法律后果。</w:t>
      </w:r>
    </w:p>
    <w:p w14:paraId="69AE294D">
      <w:pPr>
        <w:spacing w:line="440" w:lineRule="exact"/>
        <w:ind w:firstLine="480" w:firstLineChars="200"/>
        <w:rPr>
          <w:rFonts w:hint="eastAsia" w:ascii="宋体"/>
          <w:color w:val="auto"/>
          <w:sz w:val="24"/>
          <w:highlight w:val="none"/>
        </w:rPr>
      </w:pPr>
    </w:p>
    <w:p w14:paraId="0E30B7D3">
      <w:pPr>
        <w:spacing w:line="440" w:lineRule="exact"/>
        <w:rPr>
          <w:rFonts w:hint="eastAsia" w:ascii="宋体"/>
          <w:color w:val="auto"/>
          <w:sz w:val="24"/>
          <w:highlight w:val="none"/>
        </w:rPr>
      </w:pPr>
      <w:r>
        <w:rPr>
          <w:rFonts w:hint="eastAsia" w:ascii="宋体"/>
          <w:color w:val="auto"/>
          <w:sz w:val="24"/>
          <w:highlight w:val="none"/>
        </w:rPr>
        <w:t> </w:t>
      </w:r>
    </w:p>
    <w:p w14:paraId="55295D7C">
      <w:pPr>
        <w:spacing w:line="440" w:lineRule="exact"/>
        <w:ind w:firstLine="480" w:firstLineChars="200"/>
        <w:rPr>
          <w:rFonts w:hint="eastAsia" w:ascii="宋体"/>
          <w:color w:val="auto"/>
          <w:sz w:val="24"/>
          <w:highlight w:val="none"/>
        </w:rPr>
      </w:pPr>
      <w:r>
        <w:rPr>
          <w:rFonts w:hint="eastAsia" w:ascii="宋体"/>
          <w:color w:val="auto"/>
          <w:sz w:val="24"/>
          <w:highlight w:val="none"/>
        </w:rPr>
        <w:t>投标单位名称（盖章）：</w:t>
      </w:r>
      <w:r>
        <w:rPr>
          <w:rFonts w:hint="eastAsia" w:ascii="宋体"/>
          <w:color w:val="auto"/>
          <w:sz w:val="24"/>
          <w:highlight w:val="none"/>
          <w:u w:val="single"/>
        </w:rPr>
        <w:t xml:space="preserve">                                    </w:t>
      </w:r>
    </w:p>
    <w:p w14:paraId="723BF7E6">
      <w:pPr>
        <w:spacing w:line="440" w:lineRule="exact"/>
        <w:ind w:firstLine="480" w:firstLineChars="200"/>
        <w:rPr>
          <w:rFonts w:hint="eastAsia" w:ascii="宋体"/>
          <w:color w:val="auto"/>
          <w:sz w:val="24"/>
          <w:highlight w:val="none"/>
          <w:u w:val="single"/>
        </w:rPr>
      </w:pPr>
      <w:r>
        <w:rPr>
          <w:rFonts w:hint="eastAsia" w:ascii="宋体"/>
          <w:color w:val="auto"/>
          <w:sz w:val="24"/>
          <w:highlight w:val="none"/>
        </w:rPr>
        <w:t>投标单位法定代表人或委托代理人（签字或盖章）：</w:t>
      </w:r>
      <w:r>
        <w:rPr>
          <w:rFonts w:hint="eastAsia" w:ascii="宋体"/>
          <w:color w:val="auto"/>
          <w:sz w:val="24"/>
          <w:highlight w:val="none"/>
          <w:u w:val="single"/>
        </w:rPr>
        <w:t xml:space="preserve">            </w:t>
      </w:r>
    </w:p>
    <w:p w14:paraId="64219793">
      <w:pPr>
        <w:spacing w:line="440" w:lineRule="exact"/>
        <w:ind w:firstLine="480" w:firstLineChars="200"/>
        <w:jc w:val="left"/>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53CFD545">
      <w:pPr>
        <w:spacing w:line="440" w:lineRule="exact"/>
        <w:ind w:firstLine="480" w:firstLineChars="200"/>
        <w:jc w:val="left"/>
        <w:rPr>
          <w:rFonts w:hint="eastAsia" w:ascii="宋体"/>
          <w:color w:val="auto"/>
          <w:sz w:val="24"/>
          <w:highlight w:val="none"/>
          <w:u w:val="single"/>
        </w:rPr>
      </w:pPr>
      <w:r>
        <w:rPr>
          <w:rFonts w:hint="eastAsia" w:ascii="宋体"/>
          <w:color w:val="auto"/>
          <w:sz w:val="24"/>
          <w:highlight w:val="none"/>
        </w:rPr>
        <w:t>通讯地址：</w:t>
      </w:r>
      <w:r>
        <w:rPr>
          <w:rFonts w:hint="eastAsia" w:ascii="宋体"/>
          <w:color w:val="auto"/>
          <w:sz w:val="24"/>
          <w:highlight w:val="none"/>
          <w:u w:val="single"/>
        </w:rPr>
        <w:t xml:space="preserve">                                                </w:t>
      </w:r>
    </w:p>
    <w:p w14:paraId="0718409A">
      <w:pPr>
        <w:spacing w:line="440" w:lineRule="exact"/>
        <w:ind w:firstLine="480" w:firstLineChars="200"/>
        <w:jc w:val="left"/>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40175D8E">
      <w:pPr>
        <w:spacing w:line="440" w:lineRule="exact"/>
        <w:ind w:firstLine="480" w:firstLineChars="200"/>
        <w:jc w:val="left"/>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26D7479E">
      <w:pPr>
        <w:ind w:right="-178" w:rightChars="-85" w:firstLine="2520" w:firstLineChars="1050"/>
        <w:rPr>
          <w:rFonts w:hint="eastAsia" w:ascii="宋体"/>
          <w:color w:val="auto"/>
          <w:sz w:val="24"/>
          <w:highlight w:val="none"/>
          <w:u w:val="single"/>
        </w:rPr>
      </w:pPr>
    </w:p>
    <w:p w14:paraId="1AA84723">
      <w:pPr>
        <w:ind w:right="-178" w:rightChars="-85" w:firstLine="3240" w:firstLineChars="1350"/>
        <w:rPr>
          <w:rFonts w:hint="eastAsia" w:ascii="宋体"/>
          <w:color w:val="auto"/>
          <w:sz w:val="24"/>
          <w:highlight w:val="none"/>
          <w:u w:val="single"/>
        </w:rPr>
      </w:pPr>
    </w:p>
    <w:p w14:paraId="4FEC5A18">
      <w:pPr>
        <w:jc w:val="center"/>
        <w:rPr>
          <w:rFonts w:hint="eastAsia" w:ascii="宋体" w:hAnsi="宋体"/>
          <w:b/>
          <w:color w:val="auto"/>
          <w:sz w:val="30"/>
          <w:szCs w:val="30"/>
          <w:highlight w:val="none"/>
        </w:rPr>
      </w:pPr>
    </w:p>
    <w:p w14:paraId="3D612A9A">
      <w:pPr>
        <w:adjustRightInd w:val="0"/>
        <w:snapToGrid w:val="0"/>
        <w:spacing w:line="360" w:lineRule="auto"/>
        <w:rPr>
          <w:rFonts w:hint="eastAsia" w:ascii="宋体"/>
          <w:b/>
          <w:color w:val="auto"/>
          <w:sz w:val="28"/>
          <w:szCs w:val="28"/>
          <w:highlight w:val="none"/>
        </w:rPr>
      </w:pPr>
      <w:r>
        <w:rPr>
          <w:rFonts w:hint="eastAsia" w:ascii="宋体"/>
          <w:b/>
          <w:color w:val="auto"/>
          <w:sz w:val="28"/>
          <w:szCs w:val="28"/>
          <w:highlight w:val="none"/>
        </w:rPr>
        <w:br w:type="page"/>
      </w:r>
      <w:r>
        <w:rPr>
          <w:rFonts w:hint="eastAsia"/>
          <w:b/>
          <w:color w:val="auto"/>
          <w:sz w:val="28"/>
          <w:szCs w:val="28"/>
          <w:highlight w:val="none"/>
        </w:rPr>
        <w:t>附件3</w:t>
      </w:r>
    </w:p>
    <w:p w14:paraId="76202861">
      <w:pPr>
        <w:adjustRightInd w:val="0"/>
        <w:snapToGrid w:val="0"/>
        <w:spacing w:line="360" w:lineRule="auto"/>
        <w:jc w:val="center"/>
        <w:rPr>
          <w:rFonts w:hint="eastAsia" w:eastAsia="宋体"/>
          <w:b/>
          <w:color w:val="auto"/>
          <w:sz w:val="28"/>
          <w:szCs w:val="28"/>
          <w:highlight w:val="none"/>
          <w:lang w:eastAsia="zh-CN"/>
        </w:rPr>
      </w:pPr>
      <w:r>
        <w:rPr>
          <w:rFonts w:hint="eastAsia"/>
          <w:b/>
          <w:color w:val="auto"/>
          <w:sz w:val="28"/>
          <w:szCs w:val="28"/>
          <w:highlight w:val="none"/>
        </w:rPr>
        <w:t>分项报价</w:t>
      </w:r>
      <w:r>
        <w:rPr>
          <w:rFonts w:hint="eastAsia"/>
          <w:b/>
          <w:color w:val="auto"/>
          <w:sz w:val="28"/>
          <w:szCs w:val="28"/>
          <w:highlight w:val="none"/>
          <w:lang w:val="en-US" w:eastAsia="zh-CN"/>
        </w:rPr>
        <w:t>清单</w:t>
      </w:r>
    </w:p>
    <w:tbl>
      <w:tblPr>
        <w:tblStyle w:val="23"/>
        <w:tblW w:w="10128" w:type="dxa"/>
        <w:tblInd w:w="-5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4"/>
        <w:gridCol w:w="2344"/>
        <w:gridCol w:w="2032"/>
        <w:gridCol w:w="805"/>
        <w:gridCol w:w="941"/>
        <w:gridCol w:w="1610"/>
        <w:gridCol w:w="1612"/>
      </w:tblGrid>
      <w:tr w14:paraId="7ECDF2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230CD6C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7F4F03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名称</w:t>
            </w:r>
          </w:p>
        </w:tc>
        <w:tc>
          <w:tcPr>
            <w:tcW w:w="2032" w:type="dxa"/>
            <w:tcBorders>
              <w:top w:val="single" w:color="auto" w:sz="4" w:space="0"/>
              <w:left w:val="single" w:color="auto" w:sz="4" w:space="0"/>
              <w:bottom w:val="single" w:color="auto" w:sz="4" w:space="0"/>
              <w:right w:val="single" w:color="auto" w:sz="4" w:space="0"/>
            </w:tcBorders>
            <w:noWrap w:val="0"/>
            <w:vAlign w:val="center"/>
          </w:tcPr>
          <w:p w14:paraId="4263D43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规格型号、品牌、生产厂家</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6C262C53">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5E33F2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7F529D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 价（元）</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23B8F18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 价（元）</w:t>
            </w:r>
          </w:p>
        </w:tc>
      </w:tr>
      <w:tr w14:paraId="4B2623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B3028E9">
            <w:pPr>
              <w:spacing w:line="440" w:lineRule="exact"/>
              <w:jc w:val="center"/>
              <w:rPr>
                <w:rFonts w:hint="eastAsia" w:ascii="宋体" w:hAnsi="宋体" w:eastAsia="宋体" w:cs="宋体"/>
                <w:color w:val="auto"/>
                <w:sz w:val="24"/>
                <w:highlight w:val="none"/>
                <w:lang w:val="en-US" w:eastAsia="zh-CN"/>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40E6874">
            <w:pPr>
              <w:spacing w:line="440" w:lineRule="exact"/>
              <w:jc w:val="center"/>
              <w:rPr>
                <w:rFonts w:hint="eastAsia" w:ascii="宋体" w:hAnsi="宋体" w:eastAsia="宋体" w:cs="宋体"/>
                <w:color w:val="auto"/>
                <w:sz w:val="24"/>
                <w:highlight w:val="none"/>
                <w:lang w:val="en-US" w:eastAsia="zh-CN"/>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5172E4B5">
            <w:pPr>
              <w:spacing w:line="480" w:lineRule="exact"/>
              <w:jc w:val="center"/>
              <w:rPr>
                <w:rFonts w:hint="eastAsia" w:ascii="宋体" w:hAnsi="宋体" w:eastAsia="宋体" w:cs="宋体"/>
                <w:color w:val="auto"/>
                <w:sz w:val="24"/>
                <w:highlight w:val="none"/>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1A0768B2">
            <w:pPr>
              <w:spacing w:line="440" w:lineRule="exact"/>
              <w:jc w:val="center"/>
              <w:rPr>
                <w:rFonts w:hint="eastAsia" w:ascii="宋体" w:hAnsi="宋体" w:eastAsia="宋体" w:cs="宋体"/>
                <w:color w:val="auto"/>
                <w:sz w:val="24"/>
                <w:highlight w:val="none"/>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1DB0C6A4">
            <w:pPr>
              <w:spacing w:line="440" w:lineRule="exact"/>
              <w:jc w:val="center"/>
              <w:rPr>
                <w:rFonts w:hint="eastAsia" w:ascii="宋体" w:hAnsi="宋体" w:eastAsia="宋体" w:cs="宋体"/>
                <w:color w:val="auto"/>
                <w:sz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C91B8E0">
            <w:pPr>
              <w:spacing w:line="440" w:lineRule="exact"/>
              <w:jc w:val="center"/>
              <w:rPr>
                <w:rFonts w:hint="eastAsia" w:ascii="宋体" w:hAnsi="宋体" w:eastAsia="宋体" w:cs="宋体"/>
                <w:color w:val="auto"/>
                <w:sz w:val="24"/>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03B75F6A">
            <w:pPr>
              <w:spacing w:line="440" w:lineRule="exact"/>
              <w:jc w:val="center"/>
              <w:rPr>
                <w:rFonts w:hint="eastAsia" w:ascii="宋体" w:hAnsi="宋体" w:eastAsia="宋体" w:cs="宋体"/>
                <w:color w:val="auto"/>
                <w:sz w:val="24"/>
                <w:highlight w:val="none"/>
              </w:rPr>
            </w:pPr>
          </w:p>
        </w:tc>
      </w:tr>
      <w:tr w14:paraId="4EA70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2F61EFB">
            <w:pPr>
              <w:spacing w:line="440" w:lineRule="exact"/>
              <w:jc w:val="center"/>
              <w:rPr>
                <w:rFonts w:hint="eastAsia" w:ascii="宋体" w:hAnsi="宋体" w:eastAsia="宋体" w:cs="宋体"/>
                <w:color w:val="auto"/>
                <w:sz w:val="24"/>
                <w:highlight w:val="none"/>
                <w:lang w:val="en-US" w:eastAsia="zh-CN"/>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56016D67">
            <w:pPr>
              <w:spacing w:line="440" w:lineRule="exact"/>
              <w:jc w:val="center"/>
              <w:rPr>
                <w:rFonts w:hint="eastAsia" w:ascii="宋体" w:hAnsi="宋体" w:eastAsia="宋体" w:cs="宋体"/>
                <w:color w:val="auto"/>
                <w:sz w:val="24"/>
                <w:highlight w:val="none"/>
                <w:lang w:val="en-US" w:eastAsia="zh-CN"/>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596A3697">
            <w:pPr>
              <w:spacing w:line="480" w:lineRule="exact"/>
              <w:jc w:val="center"/>
              <w:rPr>
                <w:rFonts w:hint="eastAsia" w:ascii="宋体" w:hAnsi="宋体" w:eastAsia="宋体" w:cs="宋体"/>
                <w:color w:val="auto"/>
                <w:sz w:val="24"/>
                <w:highlight w:val="none"/>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006186AA">
            <w:pPr>
              <w:spacing w:line="440" w:lineRule="exact"/>
              <w:jc w:val="center"/>
              <w:rPr>
                <w:rFonts w:hint="eastAsia" w:ascii="宋体" w:hAnsi="宋体" w:eastAsia="宋体" w:cs="宋体"/>
                <w:color w:val="auto"/>
                <w:sz w:val="24"/>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4A58020C">
            <w:pPr>
              <w:spacing w:line="440" w:lineRule="exact"/>
              <w:jc w:val="center"/>
              <w:rPr>
                <w:rFonts w:hint="eastAsia" w:ascii="宋体" w:hAnsi="宋体" w:eastAsia="宋体" w:cs="宋体"/>
                <w:color w:val="auto"/>
                <w:sz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070B6526">
            <w:pPr>
              <w:spacing w:line="440" w:lineRule="exact"/>
              <w:jc w:val="center"/>
              <w:rPr>
                <w:rFonts w:hint="eastAsia" w:ascii="宋体" w:hAnsi="宋体" w:eastAsia="宋体" w:cs="宋体"/>
                <w:color w:val="auto"/>
                <w:sz w:val="24"/>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166B9E0E">
            <w:pPr>
              <w:spacing w:line="440" w:lineRule="exact"/>
              <w:jc w:val="center"/>
              <w:rPr>
                <w:rFonts w:hint="eastAsia" w:ascii="宋体" w:hAnsi="宋体" w:eastAsia="宋体" w:cs="宋体"/>
                <w:color w:val="auto"/>
                <w:sz w:val="24"/>
                <w:highlight w:val="none"/>
              </w:rPr>
            </w:pPr>
          </w:p>
        </w:tc>
      </w:tr>
      <w:tr w14:paraId="217B9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321728A">
            <w:pPr>
              <w:spacing w:line="440" w:lineRule="exact"/>
              <w:jc w:val="center"/>
              <w:rPr>
                <w:rFonts w:hint="eastAsia" w:ascii="宋体" w:hAnsi="宋体" w:eastAsia="宋体" w:cs="宋体"/>
                <w:color w:val="auto"/>
                <w:sz w:val="24"/>
                <w:highlight w:val="none"/>
                <w:lang w:val="en-US" w:eastAsia="zh-CN"/>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9D58539">
            <w:pPr>
              <w:spacing w:line="440" w:lineRule="exact"/>
              <w:jc w:val="center"/>
              <w:rPr>
                <w:rFonts w:hint="eastAsia" w:ascii="宋体" w:hAnsi="宋体" w:eastAsia="宋体" w:cs="宋体"/>
                <w:color w:val="auto"/>
                <w:sz w:val="24"/>
                <w:highlight w:val="none"/>
                <w:lang w:val="en-US" w:eastAsia="zh-CN"/>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7F11FD62">
            <w:pPr>
              <w:spacing w:line="480" w:lineRule="exact"/>
              <w:jc w:val="center"/>
              <w:rPr>
                <w:rFonts w:hint="eastAsia" w:ascii="宋体" w:hAnsi="宋体" w:eastAsia="宋体" w:cs="宋体"/>
                <w:color w:val="auto"/>
                <w:sz w:val="24"/>
                <w:highlight w:val="none"/>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24D92B5F">
            <w:pPr>
              <w:spacing w:line="440" w:lineRule="exact"/>
              <w:jc w:val="center"/>
              <w:rPr>
                <w:rFonts w:hint="eastAsia" w:ascii="宋体" w:hAnsi="宋体" w:eastAsia="宋体" w:cs="宋体"/>
                <w:color w:val="auto"/>
                <w:sz w:val="24"/>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79B9ED2E">
            <w:pPr>
              <w:spacing w:line="440" w:lineRule="exact"/>
              <w:jc w:val="center"/>
              <w:rPr>
                <w:rFonts w:hint="eastAsia" w:ascii="宋体" w:hAnsi="宋体" w:eastAsia="宋体" w:cs="宋体"/>
                <w:color w:val="auto"/>
                <w:sz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32197DD">
            <w:pPr>
              <w:spacing w:line="440" w:lineRule="exact"/>
              <w:jc w:val="center"/>
              <w:rPr>
                <w:rFonts w:hint="eastAsia" w:ascii="宋体" w:hAnsi="宋体" w:eastAsia="宋体" w:cs="宋体"/>
                <w:color w:val="auto"/>
                <w:sz w:val="24"/>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569E475D">
            <w:pPr>
              <w:spacing w:line="440" w:lineRule="exact"/>
              <w:jc w:val="center"/>
              <w:rPr>
                <w:rFonts w:hint="eastAsia" w:ascii="宋体" w:hAnsi="宋体" w:eastAsia="宋体" w:cs="宋体"/>
                <w:color w:val="auto"/>
                <w:sz w:val="24"/>
                <w:highlight w:val="none"/>
              </w:rPr>
            </w:pPr>
          </w:p>
        </w:tc>
      </w:tr>
      <w:tr w14:paraId="5DA762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185C256">
            <w:pPr>
              <w:spacing w:line="440" w:lineRule="exact"/>
              <w:jc w:val="center"/>
              <w:rPr>
                <w:rFonts w:hint="eastAsia" w:ascii="宋体" w:hAnsi="宋体" w:eastAsia="宋体" w:cs="宋体"/>
                <w:color w:val="auto"/>
                <w:sz w:val="24"/>
                <w:highlight w:val="none"/>
                <w:lang w:val="en-US" w:eastAsia="zh-CN"/>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D968B69">
            <w:pPr>
              <w:spacing w:line="440" w:lineRule="exact"/>
              <w:jc w:val="center"/>
              <w:rPr>
                <w:rFonts w:hint="eastAsia" w:ascii="宋体" w:hAnsi="宋体" w:eastAsia="宋体" w:cs="宋体"/>
                <w:color w:val="auto"/>
                <w:sz w:val="24"/>
                <w:highlight w:val="none"/>
                <w:lang w:val="en-US" w:eastAsia="zh-CN"/>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1904F81B">
            <w:pPr>
              <w:spacing w:line="480" w:lineRule="exact"/>
              <w:jc w:val="center"/>
              <w:rPr>
                <w:rFonts w:hint="eastAsia" w:ascii="宋体" w:hAnsi="宋体" w:eastAsia="宋体" w:cs="宋体"/>
                <w:color w:val="auto"/>
                <w:sz w:val="24"/>
                <w:highlight w:val="none"/>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3CB3CCA3">
            <w:pPr>
              <w:spacing w:line="440" w:lineRule="exact"/>
              <w:jc w:val="center"/>
              <w:rPr>
                <w:rFonts w:hint="eastAsia" w:ascii="宋体" w:hAnsi="宋体" w:eastAsia="宋体" w:cs="宋体"/>
                <w:color w:val="auto"/>
                <w:sz w:val="24"/>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7AB38F34">
            <w:pPr>
              <w:spacing w:line="440" w:lineRule="exact"/>
              <w:jc w:val="center"/>
              <w:rPr>
                <w:rFonts w:hint="eastAsia" w:ascii="宋体" w:hAnsi="宋体" w:eastAsia="宋体" w:cs="宋体"/>
                <w:color w:val="auto"/>
                <w:sz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041A32F9">
            <w:pPr>
              <w:spacing w:line="440" w:lineRule="exact"/>
              <w:jc w:val="center"/>
              <w:rPr>
                <w:rFonts w:hint="eastAsia" w:ascii="宋体" w:hAnsi="宋体" w:eastAsia="宋体" w:cs="宋体"/>
                <w:color w:val="auto"/>
                <w:sz w:val="24"/>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1CF02582">
            <w:pPr>
              <w:spacing w:line="440" w:lineRule="exact"/>
              <w:jc w:val="center"/>
              <w:rPr>
                <w:rFonts w:hint="eastAsia" w:ascii="宋体" w:hAnsi="宋体" w:eastAsia="宋体" w:cs="宋体"/>
                <w:color w:val="auto"/>
                <w:sz w:val="24"/>
                <w:highlight w:val="none"/>
              </w:rPr>
            </w:pPr>
          </w:p>
        </w:tc>
      </w:tr>
      <w:tr w14:paraId="5EE80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9F757A6">
            <w:pPr>
              <w:spacing w:line="440" w:lineRule="exact"/>
              <w:jc w:val="center"/>
              <w:rPr>
                <w:rFonts w:hint="eastAsia" w:ascii="宋体" w:hAnsi="宋体" w:eastAsia="宋体" w:cs="宋体"/>
                <w:color w:val="auto"/>
                <w:sz w:val="24"/>
                <w:highlight w:val="none"/>
                <w:lang w:val="en-US" w:eastAsia="zh-CN"/>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2CFED5D">
            <w:pPr>
              <w:spacing w:line="440" w:lineRule="exact"/>
              <w:jc w:val="center"/>
              <w:rPr>
                <w:rFonts w:hint="eastAsia" w:ascii="宋体" w:hAnsi="宋体" w:eastAsia="宋体" w:cs="宋体"/>
                <w:color w:val="auto"/>
                <w:sz w:val="24"/>
                <w:highlight w:val="none"/>
                <w:lang w:val="en-US" w:eastAsia="zh-CN"/>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1827F318">
            <w:pPr>
              <w:spacing w:line="480" w:lineRule="exact"/>
              <w:jc w:val="center"/>
              <w:rPr>
                <w:rFonts w:hint="eastAsia" w:ascii="宋体" w:hAnsi="宋体" w:eastAsia="宋体" w:cs="宋体"/>
                <w:color w:val="auto"/>
                <w:sz w:val="24"/>
                <w:highlight w:val="none"/>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3A0D5687">
            <w:pPr>
              <w:spacing w:line="440" w:lineRule="exact"/>
              <w:jc w:val="center"/>
              <w:rPr>
                <w:rFonts w:hint="eastAsia" w:ascii="宋体" w:hAnsi="宋体" w:eastAsia="宋体" w:cs="宋体"/>
                <w:color w:val="auto"/>
                <w:sz w:val="24"/>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3082A6AC">
            <w:pPr>
              <w:spacing w:line="440" w:lineRule="exact"/>
              <w:jc w:val="center"/>
              <w:rPr>
                <w:rFonts w:hint="eastAsia" w:ascii="宋体" w:hAnsi="宋体" w:eastAsia="宋体" w:cs="宋体"/>
                <w:color w:val="auto"/>
                <w:sz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7463C2C">
            <w:pPr>
              <w:spacing w:line="440" w:lineRule="exact"/>
              <w:jc w:val="center"/>
              <w:rPr>
                <w:rFonts w:hint="eastAsia" w:ascii="宋体" w:hAnsi="宋体" w:eastAsia="宋体" w:cs="宋体"/>
                <w:color w:val="auto"/>
                <w:sz w:val="24"/>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99E9585">
            <w:pPr>
              <w:spacing w:line="440" w:lineRule="exact"/>
              <w:jc w:val="center"/>
              <w:rPr>
                <w:rFonts w:hint="eastAsia" w:ascii="宋体" w:hAnsi="宋体" w:eastAsia="宋体" w:cs="宋体"/>
                <w:color w:val="auto"/>
                <w:sz w:val="24"/>
                <w:highlight w:val="none"/>
              </w:rPr>
            </w:pPr>
          </w:p>
        </w:tc>
      </w:tr>
      <w:tr w14:paraId="1BDC2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0128" w:type="dxa"/>
            <w:gridSpan w:val="7"/>
            <w:tcBorders>
              <w:top w:val="single" w:color="auto" w:sz="4" w:space="0"/>
              <w:left w:val="single" w:color="auto" w:sz="4" w:space="0"/>
              <w:bottom w:val="single" w:color="auto" w:sz="4" w:space="0"/>
              <w:right w:val="single" w:color="auto" w:sz="4" w:space="0"/>
            </w:tcBorders>
            <w:noWrap w:val="0"/>
            <w:vAlign w:val="top"/>
          </w:tcPr>
          <w:p w14:paraId="0AE578F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报价合计（大写）：</w:t>
            </w:r>
          </w:p>
        </w:tc>
      </w:tr>
    </w:tbl>
    <w:p w14:paraId="59F1DB8F">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color w:val="auto"/>
          <w:sz w:val="24"/>
          <w:highlight w:val="none"/>
        </w:rPr>
      </w:pPr>
      <w:r>
        <w:rPr>
          <w:rFonts w:hint="eastAsia" w:hAnsi="宋体"/>
          <w:color w:val="auto"/>
          <w:sz w:val="24"/>
          <w:highlight w:val="none"/>
        </w:rPr>
        <w:t>注：</w:t>
      </w:r>
      <w:r>
        <w:rPr>
          <w:rFonts w:hint="eastAsia"/>
          <w:color w:val="auto"/>
          <w:sz w:val="24"/>
          <w:highlight w:val="none"/>
        </w:rPr>
        <w:t>本页标注不下可另附表。</w:t>
      </w:r>
    </w:p>
    <w:p w14:paraId="7A340955">
      <w:pPr>
        <w:keepNext w:val="0"/>
        <w:keepLines w:val="0"/>
        <w:pageBreakBefore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auto"/>
          <w:sz w:val="24"/>
          <w:highlight w:val="none"/>
        </w:rPr>
      </w:pPr>
    </w:p>
    <w:p w14:paraId="1AE17DE2">
      <w:pPr>
        <w:spacing w:line="440" w:lineRule="exact"/>
        <w:rPr>
          <w:rFonts w:hAnsi="宋体"/>
          <w:color w:val="auto"/>
          <w:sz w:val="24"/>
          <w:highlight w:val="none"/>
        </w:rPr>
      </w:pPr>
      <w:r>
        <w:rPr>
          <w:rFonts w:hint="eastAsia" w:hAnsi="宋体"/>
          <w:color w:val="auto"/>
          <w:sz w:val="24"/>
          <w:highlight w:val="none"/>
        </w:rPr>
        <w:t>投标人名称（盖章）：</w:t>
      </w:r>
      <w:r>
        <w:rPr>
          <w:rFonts w:hint="eastAsia" w:hAnsi="宋体"/>
          <w:color w:val="auto"/>
          <w:sz w:val="24"/>
          <w:highlight w:val="none"/>
          <w:u w:val="single"/>
        </w:rPr>
        <w:t xml:space="preserve">                                </w:t>
      </w:r>
    </w:p>
    <w:p w14:paraId="55501B79">
      <w:pPr>
        <w:spacing w:line="440" w:lineRule="exact"/>
        <w:rPr>
          <w:rFonts w:hAnsi="宋体"/>
          <w:color w:val="auto"/>
          <w:sz w:val="24"/>
          <w:highlight w:val="none"/>
        </w:rPr>
      </w:pPr>
      <w:r>
        <w:rPr>
          <w:rFonts w:hint="eastAsia" w:hAnsi="宋体"/>
          <w:color w:val="auto"/>
          <w:sz w:val="24"/>
          <w:highlight w:val="none"/>
        </w:rPr>
        <w:t>法定代表人或授权代理人(签字或盖章)：</w:t>
      </w:r>
      <w:r>
        <w:rPr>
          <w:rFonts w:hint="eastAsia" w:hAnsi="宋体"/>
          <w:color w:val="auto"/>
          <w:sz w:val="24"/>
          <w:highlight w:val="none"/>
          <w:u w:val="single"/>
        </w:rPr>
        <w:t xml:space="preserve">                          </w:t>
      </w:r>
    </w:p>
    <w:p w14:paraId="50F7A463">
      <w:pPr>
        <w:spacing w:line="440" w:lineRule="exact"/>
        <w:rPr>
          <w:rFonts w:hint="eastAsia" w:hAnsi="宋体"/>
          <w:color w:val="auto"/>
          <w:sz w:val="24"/>
          <w:highlight w:val="none"/>
        </w:rPr>
      </w:pPr>
      <w:r>
        <w:rPr>
          <w:rFonts w:hint="eastAsia" w:hAnsi="宋体"/>
          <w:color w:val="auto"/>
          <w:sz w:val="24"/>
          <w:highlight w:val="none"/>
        </w:rPr>
        <w:t xml:space="preserve">                                     日    期：</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6E28C4C2">
      <w:pPr>
        <w:rPr>
          <w:rFonts w:hint="eastAsia" w:hAnsi="宋体"/>
          <w:color w:val="auto"/>
          <w:sz w:val="24"/>
          <w:highlight w:val="none"/>
        </w:rPr>
      </w:pPr>
      <w:r>
        <w:rPr>
          <w:rFonts w:hint="eastAsia" w:hAnsi="宋体"/>
          <w:color w:val="auto"/>
          <w:sz w:val="24"/>
          <w:highlight w:val="none"/>
        </w:rPr>
        <w:br w:type="page"/>
      </w:r>
    </w:p>
    <w:p w14:paraId="1E380147">
      <w:pPr>
        <w:spacing w:line="560" w:lineRule="exact"/>
        <w:jc w:val="left"/>
        <w:rPr>
          <w:rFonts w:hint="eastAsia"/>
          <w:b/>
          <w:bCs/>
          <w:color w:val="auto"/>
          <w:highlight w:val="none"/>
        </w:rPr>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pPr>
      <w:bookmarkStart w:id="98" w:name="_Toc22938"/>
      <w:bookmarkStart w:id="99" w:name="_Toc16566"/>
    </w:p>
    <w:p w14:paraId="3A0F4423">
      <w:pPr>
        <w:adjustRightInd w:val="0"/>
        <w:snapToGrid w:val="0"/>
        <w:spacing w:line="360" w:lineRule="auto"/>
        <w:rPr>
          <w:rFonts w:hint="eastAsia"/>
          <w:b/>
          <w:color w:val="auto"/>
          <w:sz w:val="28"/>
          <w:szCs w:val="28"/>
          <w:highlight w:val="none"/>
        </w:rPr>
      </w:pPr>
      <w:r>
        <w:rPr>
          <w:rFonts w:hint="eastAsia"/>
          <w:b/>
          <w:color w:val="auto"/>
          <w:sz w:val="28"/>
          <w:szCs w:val="28"/>
          <w:highlight w:val="none"/>
        </w:rPr>
        <w:t>附件1</w:t>
      </w:r>
      <w:bookmarkEnd w:id="98"/>
      <w:bookmarkEnd w:id="99"/>
    </w:p>
    <w:p w14:paraId="7F3A3618">
      <w:pPr>
        <w:spacing w:line="400" w:lineRule="exact"/>
        <w:rPr>
          <w:rFonts w:hint="eastAsia"/>
          <w:color w:val="auto"/>
          <w:highlight w:val="none"/>
        </w:rPr>
      </w:pPr>
    </w:p>
    <w:p w14:paraId="668C68B3">
      <w:pPr>
        <w:spacing w:line="400" w:lineRule="exact"/>
        <w:jc w:val="center"/>
        <w:rPr>
          <w:rFonts w:ascii="黑体" w:hAnsi="黑体" w:eastAsia="黑体"/>
          <w:b/>
          <w:color w:val="auto"/>
          <w:sz w:val="36"/>
          <w:szCs w:val="36"/>
          <w:highlight w:val="none"/>
        </w:rPr>
      </w:pPr>
      <w:r>
        <w:rPr>
          <w:rFonts w:ascii="黑体" w:hAnsi="黑体" w:eastAsia="黑体"/>
          <w:b/>
          <w:color w:val="auto"/>
          <w:sz w:val="36"/>
          <w:szCs w:val="36"/>
          <w:highlight w:val="none"/>
        </w:rPr>
        <w:t>关于联合惩戒失信行为加强信用查询管理的</w:t>
      </w:r>
      <w:r>
        <w:rPr>
          <w:rFonts w:hint="eastAsia" w:ascii="黑体" w:hAnsi="黑体" w:eastAsia="黑体"/>
          <w:b/>
          <w:color w:val="auto"/>
          <w:sz w:val="36"/>
          <w:szCs w:val="36"/>
          <w:highlight w:val="none"/>
        </w:rPr>
        <w:t>通知</w:t>
      </w:r>
    </w:p>
    <w:p w14:paraId="22252E59">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一、失信行为联合惩戒的范围和查询渠道</w:t>
      </w:r>
    </w:p>
    <w:p w14:paraId="0D1ADC02">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在我市公共资源交易活动中对存在下列失信行为的投标人、法定代表人及其项目负责人实施联合惩戒，禁止参与我市公共资源交易活动。</w:t>
      </w:r>
    </w:p>
    <w:p w14:paraId="694C3710">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（一）工程建设项目</w:t>
      </w:r>
    </w:p>
    <w:p w14:paraId="2918C126">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1、“信用中国”网站（www.creditchina.gov.cn）查询以下失信行为：</w:t>
      </w:r>
    </w:p>
    <w:p w14:paraId="7DACF261">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①投标人被人民法院列入失信被执行人的；</w:t>
      </w:r>
    </w:p>
    <w:p w14:paraId="6DFA44B4">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②投标人被税务部门列入重大税收违法案件当事人的；</w:t>
      </w:r>
    </w:p>
    <w:p w14:paraId="711ADB36">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③投标人被人力资源社会保障行政部门列入拖欠农民工工资“黑名单”的；</w:t>
      </w:r>
    </w:p>
    <w:p w14:paraId="58017094">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④在“信用中国”网站上披露的仍在公示期的严重失信行为的。</w:t>
      </w:r>
    </w:p>
    <w:p w14:paraId="5EECD337">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2、国家企业信用信息公示系统网站（www.gsxt.gov.cn）查询以下失信行为：</w:t>
      </w:r>
    </w:p>
    <w:p w14:paraId="07BC1526">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①被市场监督管理部门列入经营异常名录或者严重违法企业名单的。</w:t>
      </w:r>
    </w:p>
    <w:p w14:paraId="6C964BC7">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3、滁州市公共资源交易中心网（http://ggzy.chuzhou.gov.cn/）查询以下失信行为：</w:t>
      </w:r>
    </w:p>
    <w:p w14:paraId="040BCEEC">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①被滁州市县两级公管部门取消在一定期限内的投标资格且在取消期限内的；</w:t>
      </w:r>
    </w:p>
    <w:p w14:paraId="28DF1134">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②被滁州市县两级公管部门记入不良行为记录或者信用信息记录，且在披露期内的。</w:t>
      </w:r>
    </w:p>
    <w:p w14:paraId="4A2D8603">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4、由竞争主体进行承诺，不进行现场网上信用查询的失信行为：</w:t>
      </w:r>
    </w:p>
    <w:p w14:paraId="12BD1202">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w:t>
      </w:r>
      <w:r>
        <w:rPr>
          <w:rFonts w:hint="eastAsia" w:ascii="宋体" w:hAnsi="宋体"/>
          <w:bCs/>
          <w:color w:val="auto"/>
          <w:sz w:val="28"/>
          <w:szCs w:val="28"/>
          <w:highlight w:val="none"/>
          <w:lang w:val="en-US" w:eastAsia="zh-CN"/>
        </w:rPr>
        <w:t>前三年有行贿犯罪行为的</w:t>
      </w:r>
      <w:r>
        <w:rPr>
          <w:rFonts w:hint="eastAsia" w:ascii="宋体" w:hAnsi="宋体"/>
          <w:bCs/>
          <w:color w:val="auto"/>
          <w:sz w:val="28"/>
          <w:szCs w:val="28"/>
          <w:highlight w:val="none"/>
        </w:rPr>
        <w:t>单位和个人；</w:t>
      </w:r>
    </w:p>
    <w:p w14:paraId="528FB571">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②被滁州市县两级各行业主管部门取消在一定期限内的投标资格且在取消期限内的；</w:t>
      </w:r>
    </w:p>
    <w:p w14:paraId="1D0CDDFB">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③因拖欠农民工工资被县级及以上有关行政主管部门限制投标资格且在限制期限内的。</w:t>
      </w:r>
    </w:p>
    <w:p w14:paraId="31F485C5">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（二）政府采购项目</w:t>
      </w:r>
    </w:p>
    <w:p w14:paraId="44F1B9F5">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1、“信用中国”网站（www.creditchina.gov.cn）查询以下失信行为：</w:t>
      </w:r>
    </w:p>
    <w:p w14:paraId="54E4282A">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①投标人被人民法院列入失信被执行人的；</w:t>
      </w:r>
    </w:p>
    <w:p w14:paraId="3DDD0F21">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②投标人被税务部门列入重大税收违法案件当事人的；</w:t>
      </w:r>
    </w:p>
    <w:p w14:paraId="28FDE8BB">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③在“信用中国”网站上披露的仍在公示期的严重失信行为的。</w:t>
      </w:r>
    </w:p>
    <w:p w14:paraId="740BD267">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2、国家企业信用信息公示系统网站（www.gsxt.gov.cn）查询以下失信行为：</w:t>
      </w:r>
    </w:p>
    <w:p w14:paraId="228FDACF">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①被市场监督管理部门列入经营异常名录或者严重违法企业名单的。</w:t>
      </w:r>
    </w:p>
    <w:p w14:paraId="33509122">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3、中国政府采购网站（www.ccgp.gov.cn）查询以下失信行为：</w:t>
      </w:r>
    </w:p>
    <w:p w14:paraId="76872E6A">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①政府采购严重违法失信行为</w:t>
      </w:r>
    </w:p>
    <w:p w14:paraId="256F0C1E">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4、滁州市公共资源交易中心网（http://ggzy.chuzhou.gov.cn/）查询以下失信行为：</w:t>
      </w:r>
    </w:p>
    <w:p w14:paraId="49B8F0D3">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①被滁州市县两级公管部门取消在一定期限内的投标资格且在取消期限内的；</w:t>
      </w:r>
    </w:p>
    <w:p w14:paraId="339327E4">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②被滁州市县两级公管部门记入不良行为记录或者信用信息记录，且在披露期内的。</w:t>
      </w:r>
    </w:p>
    <w:p w14:paraId="3182957D">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5、由竞争主体进行承诺，不进行现场网上信用查询的失信行为：</w:t>
      </w:r>
    </w:p>
    <w:p w14:paraId="05AF3941">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①</w:t>
      </w:r>
      <w:r>
        <w:rPr>
          <w:rFonts w:hint="eastAsia" w:ascii="宋体" w:hAnsi="宋体"/>
          <w:bCs/>
          <w:color w:val="auto"/>
          <w:sz w:val="28"/>
          <w:szCs w:val="28"/>
          <w:highlight w:val="none"/>
          <w:lang w:val="en-US" w:eastAsia="zh-CN"/>
        </w:rPr>
        <w:t>前三年有行贿犯罪行为的</w:t>
      </w:r>
      <w:r>
        <w:rPr>
          <w:rFonts w:hint="eastAsia" w:ascii="宋体" w:hAnsi="宋体"/>
          <w:bCs/>
          <w:color w:val="auto"/>
          <w:sz w:val="28"/>
          <w:szCs w:val="28"/>
          <w:highlight w:val="none"/>
        </w:rPr>
        <w:t>单位和个人；</w:t>
      </w:r>
    </w:p>
    <w:p w14:paraId="60C74B55">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②被滁州市县两级各行业主管部门取消在一定期限内的投标资格且在取消期限内的。</w:t>
      </w:r>
    </w:p>
    <w:p w14:paraId="1DD51FC1">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二、在开评标活动中的查询程序</w:t>
      </w:r>
    </w:p>
    <w:p w14:paraId="1E5D7AEB">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13DBFA6F">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不实行有限数量制资格审查的项目，由项目单位（代理机构）对预中标候选人、法定代表人及其项目负责人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3E506262">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3、项目单位及其委托的代理机构应当做好信用查询结果截图和记录留存。</w:t>
      </w:r>
    </w:p>
    <w:p w14:paraId="6CAAD2D0">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三、相关要求</w:t>
      </w:r>
    </w:p>
    <w:p w14:paraId="1CA358F4">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1、参与公共资源交易活动的竞争主体根据上述范围查询的内容进行自查或承诺，出具《诚信投标承诺书》（诚信投标承诺书包括但不限于上述自查或承诺内容）并注明承诺日期（投标截止时间前5日内）。</w:t>
      </w:r>
    </w:p>
    <w:p w14:paraId="4AF9B146">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7A598E3">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2、“信用中国”查询的严重失信行为判定依据为各行业主管部门下发的联合惩戒文件中规定的行为（按附件2执行）。</w:t>
      </w:r>
    </w:p>
    <w:p w14:paraId="51785F96">
      <w:pPr>
        <w:spacing w:line="4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3、资格预审的项目以递交资格预审申请文件截止时间查询为准；资格后审的项目以递交投标文件截止时间查询为准。</w:t>
      </w:r>
    </w:p>
    <w:p w14:paraId="396F848F">
      <w:pPr>
        <w:spacing w:line="400" w:lineRule="exact"/>
        <w:rPr>
          <w:rFonts w:hint="eastAsia"/>
          <w:color w:val="auto"/>
          <w:highlight w:val="none"/>
        </w:rPr>
      </w:pPr>
      <w:bookmarkStart w:id="100" w:name="_Toc11471"/>
      <w:bookmarkStart w:id="101" w:name="_Toc29498"/>
    </w:p>
    <w:p w14:paraId="63BD09EE">
      <w:pPr>
        <w:rPr>
          <w:rFonts w:hint="eastAsia"/>
          <w:b/>
          <w:bCs/>
          <w:color w:val="auto"/>
          <w:highlight w:val="none"/>
        </w:rPr>
      </w:pPr>
      <w:r>
        <w:rPr>
          <w:rFonts w:hint="eastAsia"/>
          <w:b/>
          <w:bCs/>
          <w:color w:val="auto"/>
          <w:highlight w:val="none"/>
        </w:rPr>
        <w:br w:type="page"/>
      </w:r>
    </w:p>
    <w:p w14:paraId="79457B2F">
      <w:pPr>
        <w:adjustRightInd w:val="0"/>
        <w:snapToGrid w:val="0"/>
        <w:spacing w:line="360" w:lineRule="auto"/>
        <w:rPr>
          <w:rFonts w:hint="eastAsia"/>
          <w:b/>
          <w:color w:val="auto"/>
          <w:sz w:val="28"/>
          <w:szCs w:val="28"/>
          <w:highlight w:val="none"/>
        </w:rPr>
      </w:pPr>
      <w:r>
        <w:rPr>
          <w:rFonts w:hint="eastAsia"/>
          <w:b/>
          <w:color w:val="auto"/>
          <w:sz w:val="28"/>
          <w:szCs w:val="28"/>
          <w:highlight w:val="none"/>
        </w:rPr>
        <w:t>附件2</w:t>
      </w:r>
      <w:bookmarkEnd w:id="100"/>
      <w:bookmarkEnd w:id="101"/>
    </w:p>
    <w:p w14:paraId="07B70B01">
      <w:pPr>
        <w:spacing w:line="400" w:lineRule="exact"/>
        <w:jc w:val="center"/>
        <w:rPr>
          <w:rFonts w:hint="eastAsia"/>
          <w:b/>
          <w:bCs/>
          <w:color w:val="auto"/>
          <w:sz w:val="28"/>
          <w:szCs w:val="28"/>
          <w:highlight w:val="none"/>
        </w:rPr>
      </w:pPr>
      <w:bookmarkStart w:id="102" w:name="_Toc2277"/>
      <w:bookmarkStart w:id="103" w:name="_Toc29183"/>
      <w:r>
        <w:rPr>
          <w:rFonts w:hint="eastAsia" w:ascii="黑体" w:hAnsi="黑体" w:eastAsia="黑体" w:cs="Times New Roman"/>
          <w:b/>
          <w:color w:val="auto"/>
          <w:sz w:val="36"/>
          <w:szCs w:val="36"/>
          <w:highlight w:val="none"/>
        </w:rPr>
        <w:t>“信用中国”查询的严重失信行为类别及判定依据</w:t>
      </w:r>
      <w:bookmarkEnd w:id="102"/>
      <w:bookmarkEnd w:id="103"/>
    </w:p>
    <w:p w14:paraId="5BC8263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“信用中国”查询的严重失信行为判定依据为各行业主管部门下发的联合惩戒文件中规定的行为。下面将部分类别的严重失信行为列举如下：</w:t>
      </w:r>
    </w:p>
    <w:p w14:paraId="4DF83CCE">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eastAsia="宋体" w:cs="宋体"/>
          <w:b/>
          <w:bCs/>
          <w:color w:val="auto"/>
          <w:sz w:val="28"/>
          <w:szCs w:val="28"/>
          <w:highlight w:val="none"/>
        </w:rPr>
      </w:pPr>
      <w:bookmarkStart w:id="104" w:name="_Toc2352"/>
      <w:bookmarkStart w:id="105" w:name="_Toc18931"/>
      <w:r>
        <w:rPr>
          <w:rFonts w:hint="eastAsia" w:ascii="宋体" w:hAnsi="宋体" w:eastAsia="宋体" w:cs="宋体"/>
          <w:b/>
          <w:bCs/>
          <w:color w:val="auto"/>
          <w:sz w:val="28"/>
          <w:szCs w:val="28"/>
          <w:highlight w:val="none"/>
        </w:rPr>
        <w:t>一、安全生产领域严重失信行为：</w:t>
      </w:r>
      <w:bookmarkEnd w:id="104"/>
      <w:bookmarkEnd w:id="105"/>
    </w:p>
    <w:p w14:paraId="0D6471A4">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（一）发生较大及以上生产安全责任事故，或1年内累计发生3起及以上造成人员死亡的一般生产安全责任事故的；</w:t>
      </w:r>
    </w:p>
    <w:p w14:paraId="5A7137EE">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（二）未按规定取得安全生产许可，擅自开展生产经营建设活动的；</w:t>
      </w:r>
    </w:p>
    <w:p w14:paraId="63E91985">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（三）发现重大生产安全事故隐患，或职业病危害严重超标，不及时整改，仍组织从业人员冒险作业的；</w:t>
      </w:r>
    </w:p>
    <w:p w14:paraId="40FF68A9">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（四）采取隐蔽、欺骗或阻碍等方式逃避、对抗安全监管监察的;</w:t>
      </w:r>
    </w:p>
    <w:p w14:paraId="75137F9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（五）被责令停产停业整顿，仍然从事生产经营建设活动的；</w:t>
      </w:r>
    </w:p>
    <w:p w14:paraId="2D0061A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（六）瞒报、谎报、迟报生产安全事故的；</w:t>
      </w:r>
    </w:p>
    <w:p w14:paraId="5E3ECC1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（七）矿山、危险化学品、金属冶炼等高危行业建设项目安全设施未经验收合格即投入生产和使用的；</w:t>
      </w:r>
    </w:p>
    <w:p w14:paraId="43328CA3">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（八）矿山生产经营单位存在超层越界开采、以探代采行为的；</w:t>
      </w:r>
    </w:p>
    <w:p w14:paraId="5CBB9F40">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（九）发生事故后，故意破坏事故现场，伪造有关证据资料，妨碍、对抗事故调查，或主要负责人逃逸的；</w:t>
      </w:r>
    </w:p>
    <w:p w14:paraId="4673209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（十）安全生产和职业健康技术服务机构出具虚假报告或证明，违规转让或出借资质的。</w:t>
      </w:r>
    </w:p>
    <w:p w14:paraId="22A78873">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依据：《对安全生产领域失信行为开展联合惩戒的实施办法》（安监总办〔2017〕49号）第二条</w:t>
      </w:r>
    </w:p>
    <w:p w14:paraId="1CFB1E15">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bCs/>
          <w:color w:val="auto"/>
          <w:sz w:val="28"/>
          <w:szCs w:val="28"/>
          <w:highlight w:val="none"/>
        </w:rPr>
      </w:pPr>
      <w:bookmarkStart w:id="106" w:name="_Toc10654"/>
      <w:bookmarkStart w:id="107" w:name="_Toc24507"/>
      <w:r>
        <w:rPr>
          <w:rFonts w:hint="eastAsia" w:ascii="宋体" w:hAnsi="宋体" w:eastAsia="宋体" w:cs="宋体"/>
          <w:b/>
          <w:bCs/>
          <w:color w:val="auto"/>
          <w:sz w:val="28"/>
          <w:szCs w:val="28"/>
          <w:highlight w:val="none"/>
        </w:rPr>
        <w:t>二、环境保护领域严重失信行为：</w:t>
      </w:r>
      <w:bookmarkEnd w:id="106"/>
      <w:bookmarkEnd w:id="107"/>
    </w:p>
    <w:p w14:paraId="426E712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（一）因为环境违法构成</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"https://baike.sogou.com/m/fullLemma?lid=10403954&amp;g_ut=3"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环境犯罪</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的；</w:t>
      </w:r>
    </w:p>
    <w:p w14:paraId="72900C4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"https://baike.sogou.com/m/fullLemma?lid=76033123&amp;g_ut=3"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建设项目环境影响评价</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文件未按规定通过审批，擅自开工建设的；</w:t>
      </w:r>
    </w:p>
    <w:p w14:paraId="3FCA670E">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（三）建设项目环保设施未建成、环保措施未落实、未通过</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"https://baike.sogou.com/m/fullLemma?lid=6470550&amp;g_ut=3"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竣工环保验收</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或者验收不合格，主体工程正式投入生产或者使用的；</w:t>
      </w:r>
    </w:p>
    <w:p w14:paraId="766A8CB9">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（四）建设项目性质、规模、地点、采用的生产工艺或者防治污染、防止生态破坏的措施发生重大变动，未重新报批环境影响评价文件，擅自投入生产或者使用的；</w:t>
      </w:r>
    </w:p>
    <w:p w14:paraId="2E4A31E3">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（五）主要污染物排放总量超过控制指标的；</w:t>
      </w:r>
    </w:p>
    <w:p w14:paraId="45AFA205">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（六）私设暗管或者利用</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"https://baike.sogou.com/m/fullLemma?lid=41657319&amp;g_ut=3"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渗井</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、渗坑、裂隙、溶洞等排放、倾倒、处置水污染物，或者通过私设旁路排放</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"https://baike.sogou.com/m/fullLemma?lid=7758328&amp;g_ut=3"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大气污染物</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的；</w:t>
      </w:r>
    </w:p>
    <w:p w14:paraId="3559A3B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（七）非法排放、倾倒、处置危险废物，或者向无</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"https://baike.sogou.com/m/fullLemma?lid=5923292&amp;g_ut=3"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经营许可证</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或者超出经营许可范围的单位或个人提供或者委托其收集、贮存、利用、处置危险废物的；</w:t>
      </w:r>
    </w:p>
    <w:p w14:paraId="6E8EBFA8">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"https://baike.sogou.com/m/fullLemma?lid=167759803&amp;g_ut=3"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环境违法行为</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造成集中式生活饮用水水源取水中断的；</w:t>
      </w:r>
    </w:p>
    <w:p w14:paraId="7EC5A2F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（九）环境违法行为对生活饮用水水源保护区、自然保护区、</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"https://baike.sogou.com/m/fullLemma?lid=155199213&amp;g_ut=3"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国家重点生态功能区</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、风景名胜区、居住功能区、</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"https://baike.sogou.com/m/fullLemma?lid=7757164&amp;g_ut=3" \t "https://baike.sogou.com/m/_blank"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基本农田保护区</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等环境敏感区造成重大不利影响的；</w:t>
      </w:r>
    </w:p>
    <w:p w14:paraId="7EA364C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（十）违法从事自然资源开发、交通基础设施建设，以及其他开发建设活动，造成严重生态破坏的；</w:t>
      </w:r>
    </w:p>
    <w:p w14:paraId="1BAA6FBE">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（十一）发生较大及以上突发环境事件的；</w:t>
      </w:r>
    </w:p>
    <w:p w14:paraId="197CFC36">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（十二）被环保部门挂牌督办，整改逾期未完成的；</w:t>
      </w:r>
    </w:p>
    <w:p w14:paraId="274DFC7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（十三）以暴力、威胁等方式拒绝、阻挠环保部门工作人员现场检查的；</w:t>
      </w:r>
    </w:p>
    <w:p w14:paraId="4DE14E7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（十四）违反重污染天气应急预案有关规定，对重污染天气响应不力的。</w:t>
      </w:r>
    </w:p>
    <w:p w14:paraId="6C146002">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依据：《关于对环境保护领域失信生产经营单位及其有关人员开展联合惩戒的合作备忘录》、《企业环境信用评价办法（试行）》（环发〔2013〕150号）</w:t>
      </w:r>
    </w:p>
    <w:p w14:paraId="63CD68F3">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bCs/>
          <w:color w:val="auto"/>
          <w:sz w:val="28"/>
          <w:szCs w:val="28"/>
          <w:highlight w:val="none"/>
        </w:rPr>
      </w:pPr>
      <w:bookmarkStart w:id="108" w:name="_Toc13864"/>
      <w:bookmarkStart w:id="109" w:name="_Toc1943"/>
      <w:r>
        <w:rPr>
          <w:rFonts w:hint="eastAsia" w:ascii="宋体" w:hAnsi="宋体" w:eastAsia="宋体" w:cs="宋体"/>
          <w:b/>
          <w:bCs/>
          <w:color w:val="auto"/>
          <w:sz w:val="28"/>
          <w:szCs w:val="28"/>
          <w:highlight w:val="none"/>
        </w:rPr>
        <w:t>三、公共资源交易领域严重失信行为</w:t>
      </w:r>
      <w:bookmarkEnd w:id="108"/>
      <w:bookmarkEnd w:id="109"/>
    </w:p>
    <w:p w14:paraId="41DD2E2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（一）违反法律规定，必须进行招标的项目而不招标的，将必须进行招标的项目化整为零或者以其他任何方式规避招标的； </w:t>
      </w:r>
    </w:p>
    <w:p w14:paraId="7DA5512E">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4C048266">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（三）招标人以不合理的条件限制或者排斥潜在投标人的，对潜在投标人实行歧视待遇的，强制要求投标人组成联合体共同投标的，或者限制投标人之间竞争的；</w:t>
      </w:r>
    </w:p>
    <w:p w14:paraId="7197B23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（四）依法必须进行招标的项目的招标人向他人透露已获取招标文件的潜在投标人的名称、数量或者可能影响公平竞争的有关招标投标的其他情况的，或者泄露标底的；</w:t>
      </w:r>
    </w:p>
    <w:p w14:paraId="4C99565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（五）投标人相互串通投标或者与招标人串通投标的，投标人以向招标人或者评标委员会成员行贿的手段谋取中标的；</w:t>
      </w:r>
    </w:p>
    <w:p w14:paraId="5185AEFA">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（六）投标人以他人名义投标或者以其他方式弄虚作假，骗取中标的；</w:t>
      </w:r>
    </w:p>
    <w:p w14:paraId="28DA4994">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（七）依法必须进行招标的项目，招标人违反法律规定，与投标人就投标价格、投标方案等实质性内容进行谈判的；</w:t>
      </w:r>
    </w:p>
    <w:p w14:paraId="5574D0E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（八）评标委员会成员收受投标人的财物或者其他好处的，评标委员会成员或者参加评标的有关工作人员向他人透露对投标文件的评审和比较、中标候选人的推荐以及与评标有关的其他情况的；</w:t>
      </w:r>
    </w:p>
    <w:p w14:paraId="4451E3CA">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（九）招标人在评标委员会依法推荐的中标候选人以外确定中标人的，依法必须进行招标的项目在所有投标被评标委员会否决后自行确定中标人的；</w:t>
      </w:r>
    </w:p>
    <w:p w14:paraId="3FBD9C04">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（十）中标人将中标项目转让给他人的，将中标项目肢解后分别转让给他人的，违反法律规定将中标项目的部分主体、关键性工作分包给他人的，或者分包人再次分包的；</w:t>
      </w:r>
    </w:p>
    <w:p w14:paraId="2C518906">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（十一）招标人与中标人不按照招标文件和中标人的投标文件订立合同的，或者招标人、中标人订立背离合同实质性内容的协议的；</w:t>
      </w:r>
    </w:p>
    <w:p w14:paraId="302CB67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（十二）中标人不按照与招标人订立的合同履行义务，情节严重的；</w:t>
      </w:r>
    </w:p>
    <w:p w14:paraId="7EEF930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20B77D6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06A493D8">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（十五）采购人对应当实行集中采购的政府采购项目，不委托集中采购机构实行集中采购的；</w:t>
      </w:r>
    </w:p>
    <w:p w14:paraId="65D8E26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（十六）采购人、采购代理机构违反法律规定隐匿、销毁应当保存的采购文件或者伪造、变造采购文件的；</w:t>
      </w:r>
    </w:p>
    <w:p w14:paraId="1C94B404">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14:paraId="7437CA2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（十八）疫苗生产企业向县级疾病预防控制机构以外的单位或者个人销售第二类疫苗的；</w:t>
      </w:r>
    </w:p>
    <w:p w14:paraId="35CD588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（十九）存在其他违反公共资源交易法律法规行为的。</w:t>
      </w:r>
    </w:p>
    <w:p w14:paraId="546CD31A">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依据：《关于对公共资源交易领域严重失信主体开展联合惩戒的备忘录》</w:t>
      </w:r>
    </w:p>
    <w:p w14:paraId="1DBE62DE">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bCs/>
          <w:color w:val="auto"/>
          <w:sz w:val="28"/>
          <w:szCs w:val="28"/>
          <w:highlight w:val="none"/>
        </w:rPr>
      </w:pPr>
    </w:p>
    <w:p w14:paraId="29CA5C38">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bCs/>
          <w:color w:val="auto"/>
          <w:sz w:val="28"/>
          <w:szCs w:val="28"/>
          <w:highlight w:val="none"/>
        </w:rPr>
      </w:pPr>
      <w:bookmarkStart w:id="110" w:name="_Toc22920"/>
      <w:bookmarkStart w:id="111" w:name="_Toc1619"/>
      <w:r>
        <w:rPr>
          <w:rFonts w:hint="eastAsia" w:ascii="宋体" w:hAnsi="宋体" w:eastAsia="宋体" w:cs="宋体"/>
          <w:b/>
          <w:bCs/>
          <w:color w:val="auto"/>
          <w:sz w:val="28"/>
          <w:szCs w:val="28"/>
          <w:highlight w:val="none"/>
        </w:rPr>
        <w:t>四、社会保险领域严重失信行为</w:t>
      </w:r>
      <w:bookmarkEnd w:id="110"/>
      <w:bookmarkEnd w:id="111"/>
    </w:p>
    <w:p w14:paraId="495E711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（一）用人单位未按相关规定参加社会保险且拒不整改的；</w:t>
      </w:r>
    </w:p>
    <w:p w14:paraId="540249B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（二）用人单位未如实申报社会保险缴费基数且拒不整改的；</w:t>
      </w:r>
    </w:p>
    <w:p w14:paraId="1746800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（三）应缴纳社会保险费却拒不缴纳的；</w:t>
      </w:r>
    </w:p>
    <w:p w14:paraId="15329304">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（四）隐匿、转移、侵占、挪用社会保险费款、基金或者违规投资运营的；</w:t>
      </w:r>
    </w:p>
    <w:p w14:paraId="7745615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（五）以欺诈、伪造证明材料或者其他手段参加、申报社会保险和骗取社会保险基金支出或社会保险待遇的；</w:t>
      </w:r>
    </w:p>
    <w:p w14:paraId="35BF670A">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（六）非法获取、出售或变相交易社会保险个人权益数据的；</w:t>
      </w:r>
    </w:p>
    <w:p w14:paraId="2553E650">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（七）社会保险服务机构违反服务协议或相关规定的；</w:t>
      </w:r>
    </w:p>
    <w:p w14:paraId="224165D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（八）拒绝协助社会保险行政部门、经办机构对事故和问题进行调查核实的；拒绝接受或协助税务部门对社会保险实施监督检查，不如实提供与社会保险相关各项资料的；</w:t>
      </w:r>
    </w:p>
    <w:p w14:paraId="25CE91F1">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（九）其他违反法律法规规定的。</w:t>
      </w:r>
    </w:p>
    <w:p w14:paraId="37278208">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依据：《关于对社会保险领域严重失信企业及其有关人员实施联合惩戒的合作备忘录》</w:t>
      </w:r>
    </w:p>
    <w:p w14:paraId="67B12913">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bCs/>
          <w:color w:val="auto"/>
          <w:sz w:val="28"/>
          <w:szCs w:val="28"/>
          <w:highlight w:val="none"/>
        </w:rPr>
      </w:pPr>
      <w:bookmarkStart w:id="112" w:name="_Toc29087"/>
      <w:bookmarkStart w:id="113" w:name="_Toc31962"/>
      <w:r>
        <w:rPr>
          <w:rFonts w:hint="eastAsia" w:ascii="宋体" w:hAnsi="宋体" w:eastAsia="宋体" w:cs="宋体"/>
          <w:b/>
          <w:bCs/>
          <w:color w:val="auto"/>
          <w:sz w:val="28"/>
          <w:szCs w:val="28"/>
          <w:highlight w:val="none"/>
        </w:rPr>
        <w:t>五、建筑市场领域严重失信行为</w:t>
      </w:r>
      <w:bookmarkEnd w:id="112"/>
      <w:bookmarkEnd w:id="113"/>
    </w:p>
    <w:p w14:paraId="0716A78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（一）利用虚假材料、以欺骗手段取得企业资质的；</w:t>
      </w:r>
    </w:p>
    <w:p w14:paraId="2F456B1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（二）发生转包、出借资质，受到行政处罚的；</w:t>
      </w:r>
    </w:p>
    <w:p w14:paraId="1EE3F83C">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5FC5B58C">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（四）经法院判决或仲裁机构裁决，认定为拖欠工程款,且拒不履行生效法律文书确定的义务的。</w:t>
      </w:r>
    </w:p>
    <w:p w14:paraId="2D4290A1">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各级住房城乡建设主管部门应当参照建筑市场主体“黑名单”，对被人力资源社会保障主管部门列入拖欠农民工工资“黑名单”的建筑市场各方主体加强监管。</w:t>
      </w:r>
    </w:p>
    <w:p w14:paraId="259DF464">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依据：《建筑市场信用管理暂行办法》</w:t>
      </w:r>
    </w:p>
    <w:p w14:paraId="1C5DD470">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bCs/>
          <w:color w:val="auto"/>
          <w:sz w:val="28"/>
          <w:szCs w:val="28"/>
          <w:highlight w:val="none"/>
        </w:rPr>
      </w:pPr>
      <w:bookmarkStart w:id="114" w:name="_Toc19207"/>
      <w:bookmarkStart w:id="115" w:name="_Toc33"/>
      <w:r>
        <w:rPr>
          <w:rFonts w:hint="eastAsia" w:ascii="宋体" w:hAnsi="宋体" w:eastAsia="宋体" w:cs="宋体"/>
          <w:b/>
          <w:bCs/>
          <w:color w:val="auto"/>
          <w:sz w:val="28"/>
          <w:szCs w:val="28"/>
          <w:highlight w:val="none"/>
        </w:rPr>
        <w:t>六、政府采购严重失信行为</w:t>
      </w:r>
      <w:bookmarkEnd w:id="114"/>
      <w:bookmarkEnd w:id="115"/>
    </w:p>
    <w:p w14:paraId="49902F80">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供应商、采购代理机构在三年内受到财政部门作出下列情形之一的行政处罚，列入政府采购严重违法失信行为记录名单。</w:t>
      </w:r>
    </w:p>
    <w:p w14:paraId="790EC92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（一）三万元以上罚款；</w:t>
      </w:r>
    </w:p>
    <w:p w14:paraId="225BC1AA">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（二）在一至三年内禁止参加政府采购活动（处罚期限届满的除外）；</w:t>
      </w:r>
    </w:p>
    <w:p w14:paraId="48E8AA9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（三）在一至三年内禁止代理政府采购业务（处罚期限届满的除外）；</w:t>
      </w:r>
    </w:p>
    <w:p w14:paraId="12D1D720">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（四）撤销政府采购代理机构资格（仅针对《政府采购法》第78条修改前作出的处罚决定）。</w:t>
      </w:r>
    </w:p>
    <w:p w14:paraId="513F549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依据：《关于报送政府采购严重违法失信行为信息记录的通知》</w:t>
      </w:r>
    </w:p>
    <w:p w14:paraId="3BB22F8F">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left"/>
        <w:textAlignment w:val="auto"/>
        <w:rPr>
          <w:rFonts w:hint="eastAsia" w:ascii="宋体" w:hAnsi="宋体" w:eastAsia="宋体" w:cs="宋体"/>
          <w:b/>
          <w:bCs/>
          <w:color w:val="auto"/>
          <w:sz w:val="28"/>
          <w:szCs w:val="28"/>
          <w:highlight w:val="none"/>
        </w:rPr>
      </w:pPr>
      <w:bookmarkStart w:id="116" w:name="_Toc30713"/>
      <w:bookmarkStart w:id="117" w:name="_Toc28006"/>
      <w:r>
        <w:rPr>
          <w:rFonts w:hint="eastAsia" w:ascii="宋体" w:hAnsi="宋体" w:eastAsia="宋体" w:cs="宋体"/>
          <w:b/>
          <w:bCs/>
          <w:color w:val="auto"/>
          <w:sz w:val="28"/>
          <w:szCs w:val="28"/>
          <w:highlight w:val="none"/>
        </w:rPr>
        <w:t>七、水利建设领域严重失信行为</w:t>
      </w:r>
      <w:bookmarkEnd w:id="116"/>
      <w:bookmarkEnd w:id="117"/>
    </w:p>
    <w:p w14:paraId="5F7E4CC5">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（一）1年内不良行为记录累计扣分达到20分的；</w:t>
      </w:r>
    </w:p>
    <w:p w14:paraId="0625BA28">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（二）"重点关注名单"公开期满后仍不整改的；</w:t>
      </w:r>
    </w:p>
    <w:p w14:paraId="5DB0530C">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（三）存在以下严重危害人民群众身体健康、生命安全和工程质量，以及特别严重违规行为之一的：</w:t>
      </w:r>
    </w:p>
    <w:p w14:paraId="4562FA88">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1.发生重大、特大质量或安全事故，并负有直接责任的；</w:t>
      </w:r>
    </w:p>
    <w:p w14:paraId="4C2B61A3">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2.在单位公开信息、工程相关技术成果和工程建设过程中隐瞒真实情况、弄虚作假，提供虚假材料，谋取不正当利益的；</w:t>
      </w:r>
    </w:p>
    <w:p w14:paraId="0E2CA3A6">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3.违反有关法律、法规、规章、政策、技术标准、设计文件、合同等有关规定开展工作造成的工程质量问题，经处理后仍影响工程正常使用或减少工程使用寿命的；</w:t>
      </w:r>
    </w:p>
    <w:p w14:paraId="2E0F0CDE">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4.违反规定施工，造成生态环境严重破坏且拒不修复的；</w:t>
      </w:r>
    </w:p>
    <w:p w14:paraId="42FB311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5.被证实恶意制造工程质量缺陷或质量隐患的；</w:t>
      </w:r>
    </w:p>
    <w:p w14:paraId="1FFA5901">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6.其他违反法律法规，造成严重后果或社会危害较大的。</w:t>
      </w:r>
    </w:p>
    <w:p w14:paraId="6F42A8B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（四）存在以下严重破坏市场公平竞争秩序和社会正常秩序行为之一的：</w:t>
      </w:r>
    </w:p>
    <w:p w14:paraId="4C50393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1.不按合同约定，恶意拖欠承包人项目款的；</w:t>
      </w:r>
    </w:p>
    <w:p w14:paraId="1D3510A4">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2.隐瞒有关情况或者提供虚假材料申请资质的，在全国水利建设市场监管服务平台公开虚假信息的，以欺骗、贿赂等不正当手段取得资质等级证书的；</w:t>
      </w:r>
    </w:p>
    <w:p w14:paraId="2301DB3C">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3.出借、借用资质证书,允许他人以本单位名义或借用他人名义等弄虚作假方式承揽业务的；</w:t>
      </w:r>
    </w:p>
    <w:p w14:paraId="53D9E563">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4.未取得相应资质或超越资质证书核定范围、营业范围承揽业务的；</w:t>
      </w:r>
    </w:p>
    <w:p w14:paraId="3F323616">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5.操纵招标过程，谋取不正当利益的；</w:t>
      </w:r>
    </w:p>
    <w:p w14:paraId="68148DA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6.与招标人或投标人串通投标的；</w:t>
      </w:r>
    </w:p>
    <w:p w14:paraId="4835B9C8">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7.以向招标人或评标委员会成员行贿的手段谋取中标的；</w:t>
      </w:r>
    </w:p>
    <w:p w14:paraId="517B6915">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8.中标后，无正当理由不签订合同的；</w:t>
      </w:r>
    </w:p>
    <w:p w14:paraId="0E3C2368">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9.转包或违法分包所承揽业务的；</w:t>
      </w:r>
    </w:p>
    <w:p w14:paraId="0B8C16E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10.弄虚作假，以欺诈手段降低工程或设备质量的；</w:t>
      </w:r>
    </w:p>
    <w:p w14:paraId="49799858">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11.单位行贿、受贿，受到刑事处罚的；</w:t>
      </w:r>
    </w:p>
    <w:p w14:paraId="75C3EE7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12.逃税骗税、恶意逃废债务的；</w:t>
      </w:r>
    </w:p>
    <w:p w14:paraId="47C04F1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13.参与非法集资，受到刑事处罚的；</w:t>
      </w:r>
    </w:p>
    <w:p w14:paraId="0F148939">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14.在签订、履行合同过程中，存在合同欺诈行为，受到刑事处罚的；</w:t>
      </w:r>
    </w:p>
    <w:p w14:paraId="6010EA36">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15.虚构工程项目，套取资金的；</w:t>
      </w:r>
    </w:p>
    <w:p w14:paraId="570D4453">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16.克扣、无故拖欠农民工工资报酬，数额达到认定拒不支付劳动报酬罪数额标准的；</w:t>
      </w:r>
    </w:p>
    <w:p w14:paraId="7FA9347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17.发生社会公共事件，影响较大，并负有直接责任的。</w:t>
      </w:r>
    </w:p>
    <w:p w14:paraId="5A12E58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（五）存在以下拒不履行法定义务，严重影响司法机关、行政机关公信力行为之一的：</w:t>
      </w:r>
    </w:p>
    <w:p w14:paraId="0154A4BB">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1.发生事故拒绝接受调查或拒绝提供有关资料的；</w:t>
      </w:r>
    </w:p>
    <w:p w14:paraId="5B6F458E">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2.拒不执行生效的行政处罚决定的；</w:t>
      </w:r>
    </w:p>
    <w:p w14:paraId="76AAFE9A">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3.拒不执行仲裁、法院判决结果的。</w:t>
      </w:r>
    </w:p>
    <w:p w14:paraId="504B67E0">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（六）被相关联合惩戒部门列入"黑名单"，符合联合惩戒措施的。</w:t>
      </w:r>
    </w:p>
    <w:p w14:paraId="7F0B1A00">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生产建设项目水土保持市场主体"黑名单"列入标准见《水利建设市场主体信用信息管理办法》附件。</w:t>
      </w:r>
    </w:p>
    <w:p w14:paraId="25F3BEF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依据：《水利建设市场主体信用评价管理办法》水建设〔2019〕307号、《水利建设市场主体信用信息管理办法》水建设〔2019〕306号</w:t>
      </w:r>
    </w:p>
    <w:p w14:paraId="1E26542D">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eastAsia="宋体" w:cs="宋体"/>
          <w:b/>
          <w:color w:val="auto"/>
          <w:sz w:val="28"/>
          <w:szCs w:val="28"/>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color w:val="auto"/>
          <w:sz w:val="28"/>
          <w:szCs w:val="28"/>
          <w:highlight w:val="none"/>
        </w:rPr>
        <w:t>未列出的其他类别严重失信行为，由招标人（代理机构）根据各类别行业主管部门下发的联合惩戒文件进行判断。</w:t>
      </w:r>
      <w:bookmarkStart w:id="118" w:name="_Toc449028957"/>
      <w:bookmarkStart w:id="119" w:name="_Toc32762"/>
      <w:bookmarkStart w:id="120" w:name="_Toc58430333"/>
    </w:p>
    <w:p w14:paraId="7A2AAC0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color w:val="auto"/>
          <w:sz w:val="24"/>
          <w:highlight w:val="none"/>
          <w:u w:val="single"/>
        </w:rPr>
      </w:pPr>
      <w:bookmarkStart w:id="121" w:name="_Toc30826"/>
      <w:r>
        <w:rPr>
          <w:rFonts w:hint="eastAsia" w:ascii="宋体" w:hAnsi="Times New Roman" w:eastAsia="宋体" w:cs="Times New Roman"/>
          <w:b/>
          <w:bCs/>
          <w:color w:val="auto"/>
          <w:kern w:val="44"/>
          <w:sz w:val="28"/>
          <w:szCs w:val="28"/>
          <w:highlight w:val="none"/>
          <w:lang w:val="en-US" w:eastAsia="zh-CN" w:bidi="ar-SA"/>
        </w:rPr>
        <w:t>第七章 招标人、招标代理机构对本招标文件的确认</w:t>
      </w:r>
      <w:bookmarkEnd w:id="118"/>
      <w:bookmarkEnd w:id="119"/>
      <w:bookmarkEnd w:id="120"/>
      <w:bookmarkEnd w:id="121"/>
    </w:p>
    <w:tbl>
      <w:tblPr>
        <w:tblStyle w:val="23"/>
        <w:tblW w:w="9340" w:type="dxa"/>
        <w:jc w:val="center"/>
        <w:tblLayout w:type="fixed"/>
        <w:tblCellMar>
          <w:top w:w="0" w:type="dxa"/>
          <w:left w:w="108" w:type="dxa"/>
          <w:bottom w:w="0" w:type="dxa"/>
          <w:right w:w="108" w:type="dxa"/>
        </w:tblCellMar>
      </w:tblPr>
      <w:tblGrid>
        <w:gridCol w:w="9340"/>
      </w:tblGrid>
      <w:tr w14:paraId="497EA1D0">
        <w:tblPrEx>
          <w:tblCellMar>
            <w:top w:w="0" w:type="dxa"/>
            <w:left w:w="108" w:type="dxa"/>
            <w:bottom w:w="0" w:type="dxa"/>
            <w:right w:w="108" w:type="dxa"/>
          </w:tblCellMar>
        </w:tblPrEx>
        <w:trPr>
          <w:trHeight w:val="6238" w:hRule="atLeast"/>
          <w:jc w:val="center"/>
        </w:trPr>
        <w:tc>
          <w:tcPr>
            <w:tcW w:w="9340" w:type="dxa"/>
            <w:tcBorders>
              <w:top w:val="single" w:color="auto" w:sz="4" w:space="0"/>
              <w:left w:val="single" w:color="auto" w:sz="4" w:space="0"/>
              <w:bottom w:val="single" w:color="auto" w:sz="4" w:space="0"/>
              <w:right w:val="single" w:color="auto" w:sz="4" w:space="0"/>
            </w:tcBorders>
            <w:noWrap w:val="0"/>
            <w:vAlign w:val="top"/>
          </w:tcPr>
          <w:p w14:paraId="3BF61A7F">
            <w:pPr>
              <w:spacing w:line="520" w:lineRule="exact"/>
              <w:ind w:firstLine="560" w:firstLineChars="200"/>
              <w:rPr>
                <w:rFonts w:hint="eastAsia" w:ascii="宋体"/>
                <w:color w:val="auto"/>
                <w:sz w:val="28"/>
                <w:szCs w:val="28"/>
                <w:highlight w:val="none"/>
              </w:rPr>
            </w:pPr>
          </w:p>
          <w:p w14:paraId="23402D2D">
            <w:pPr>
              <w:spacing w:after="120" w:afterLines="50" w:line="520" w:lineRule="exact"/>
              <w:rPr>
                <w:rFonts w:hint="eastAsia" w:ascii="宋体"/>
                <w:color w:val="auto"/>
                <w:sz w:val="28"/>
                <w:szCs w:val="28"/>
                <w:highlight w:val="none"/>
              </w:rPr>
            </w:pPr>
            <w:r>
              <w:rPr>
                <w:rFonts w:hint="eastAsia" w:ascii="宋体"/>
                <w:color w:val="auto"/>
                <w:sz w:val="28"/>
                <w:szCs w:val="28"/>
                <w:highlight w:val="none"/>
              </w:rPr>
              <w:t xml:space="preserve">   我单位对</w:t>
            </w:r>
            <w:r>
              <w:rPr>
                <w:rFonts w:hint="eastAsia" w:ascii="宋体"/>
                <w:color w:val="auto"/>
                <w:sz w:val="28"/>
                <w:szCs w:val="28"/>
                <w:highlight w:val="none"/>
                <w:u w:val="single"/>
                <w:lang w:eastAsia="zh-CN"/>
              </w:rPr>
              <w:t>定远县城乡水务投资建设有限公司2024年哈夫节采购项目</w:t>
            </w:r>
            <w:r>
              <w:rPr>
                <w:rFonts w:hint="eastAsia" w:ascii="宋体"/>
                <w:color w:val="auto"/>
                <w:sz w:val="28"/>
                <w:szCs w:val="28"/>
                <w:highlight w:val="none"/>
              </w:rPr>
              <w:t>的</w:t>
            </w:r>
            <w:r>
              <w:rPr>
                <w:rFonts w:hint="eastAsia" w:ascii="宋体"/>
                <w:color w:val="auto"/>
                <w:sz w:val="28"/>
                <w:szCs w:val="28"/>
                <w:highlight w:val="none"/>
                <w:lang w:eastAsia="zh-CN"/>
              </w:rPr>
              <w:t>招标文件</w:t>
            </w:r>
            <w:r>
              <w:rPr>
                <w:rFonts w:hint="eastAsia" w:ascii="宋体"/>
                <w:color w:val="auto"/>
                <w:sz w:val="28"/>
                <w:szCs w:val="28"/>
                <w:highlight w:val="none"/>
              </w:rPr>
              <w:t>进行确认。</w:t>
            </w:r>
          </w:p>
          <w:p w14:paraId="6445B442">
            <w:pPr>
              <w:spacing w:line="520" w:lineRule="exact"/>
              <w:ind w:firstLine="560" w:firstLineChars="200"/>
              <w:rPr>
                <w:rFonts w:hint="eastAsia" w:ascii="宋体" w:eastAsia="宋体"/>
                <w:color w:val="auto"/>
                <w:sz w:val="28"/>
                <w:szCs w:val="28"/>
                <w:highlight w:val="none"/>
                <w:lang w:eastAsia="zh-CN"/>
              </w:rPr>
            </w:pPr>
            <w:r>
              <w:rPr>
                <w:rFonts w:hint="eastAsia" w:ascii="宋体"/>
                <w:color w:val="auto"/>
                <w:sz w:val="28"/>
                <w:szCs w:val="28"/>
                <w:highlight w:val="none"/>
              </w:rPr>
              <w:t>招 标 人：</w:t>
            </w:r>
            <w:r>
              <w:rPr>
                <w:rFonts w:hint="eastAsia" w:ascii="宋体"/>
                <w:color w:val="auto"/>
                <w:sz w:val="28"/>
                <w:szCs w:val="28"/>
                <w:highlight w:val="none"/>
                <w:lang w:eastAsia="zh-CN"/>
              </w:rPr>
              <w:t>定远县城乡水务投资建设有限公司</w:t>
            </w:r>
          </w:p>
          <w:p w14:paraId="08D7DEE3">
            <w:pPr>
              <w:spacing w:line="520" w:lineRule="exact"/>
              <w:ind w:firstLine="560" w:firstLineChars="200"/>
              <w:rPr>
                <w:rFonts w:hint="eastAsia" w:ascii="宋体" w:eastAsia="宋体"/>
                <w:color w:val="auto"/>
                <w:sz w:val="28"/>
                <w:szCs w:val="28"/>
                <w:highlight w:val="none"/>
                <w:lang w:eastAsia="zh-CN"/>
              </w:rPr>
            </w:pPr>
            <w:r>
              <w:rPr>
                <w:rFonts w:hint="eastAsia" w:ascii="宋体"/>
                <w:color w:val="auto"/>
                <w:sz w:val="28"/>
                <w:szCs w:val="28"/>
                <w:highlight w:val="none"/>
              </w:rPr>
              <w:t>联 系 人：</w:t>
            </w:r>
            <w:r>
              <w:rPr>
                <w:rFonts w:hint="eastAsia" w:ascii="宋体"/>
                <w:color w:val="auto"/>
                <w:sz w:val="28"/>
                <w:szCs w:val="28"/>
                <w:highlight w:val="none"/>
                <w:lang w:eastAsia="zh-CN"/>
              </w:rPr>
              <w:t>潘峰</w:t>
            </w:r>
          </w:p>
          <w:p w14:paraId="56842C63">
            <w:pPr>
              <w:spacing w:line="520" w:lineRule="exact"/>
              <w:ind w:firstLine="560" w:firstLineChars="200"/>
              <w:rPr>
                <w:rFonts w:hint="eastAsia" w:ascii="宋体"/>
                <w:color w:val="auto"/>
                <w:sz w:val="28"/>
                <w:szCs w:val="28"/>
                <w:highlight w:val="none"/>
              </w:rPr>
            </w:pPr>
            <w:r>
              <w:rPr>
                <w:rFonts w:hint="eastAsia" w:ascii="宋体"/>
                <w:color w:val="auto"/>
                <w:sz w:val="28"/>
                <w:szCs w:val="28"/>
                <w:highlight w:val="none"/>
              </w:rPr>
              <w:t>联系电话：</w:t>
            </w:r>
            <w:r>
              <w:rPr>
                <w:rFonts w:hint="eastAsia" w:ascii="宋体"/>
                <w:color w:val="auto"/>
                <w:sz w:val="28"/>
                <w:szCs w:val="28"/>
                <w:highlight w:val="none"/>
                <w:lang w:val="en-US" w:eastAsia="zh-CN"/>
              </w:rPr>
              <w:t>0550-4031772</w:t>
            </w:r>
          </w:p>
          <w:p w14:paraId="4004F737">
            <w:pPr>
              <w:spacing w:line="520" w:lineRule="exact"/>
              <w:ind w:firstLine="5600" w:firstLineChars="2000"/>
              <w:rPr>
                <w:rFonts w:hint="eastAsia" w:ascii="宋体"/>
                <w:color w:val="auto"/>
                <w:sz w:val="28"/>
                <w:szCs w:val="28"/>
                <w:highlight w:val="none"/>
              </w:rPr>
            </w:pPr>
          </w:p>
          <w:p w14:paraId="476938CB">
            <w:pPr>
              <w:spacing w:line="520" w:lineRule="exact"/>
              <w:ind w:firstLine="6300" w:firstLineChars="2250"/>
              <w:rPr>
                <w:rFonts w:hint="eastAsia" w:ascii="宋体"/>
                <w:color w:val="auto"/>
                <w:sz w:val="28"/>
                <w:szCs w:val="28"/>
                <w:highlight w:val="none"/>
              </w:rPr>
            </w:pPr>
          </w:p>
          <w:p w14:paraId="10B3B71B">
            <w:pPr>
              <w:spacing w:line="520" w:lineRule="exact"/>
              <w:ind w:firstLine="5880" w:firstLineChars="2100"/>
              <w:rPr>
                <w:rFonts w:hint="eastAsia" w:ascii="宋体"/>
                <w:color w:val="auto"/>
                <w:sz w:val="28"/>
                <w:szCs w:val="28"/>
                <w:highlight w:val="none"/>
              </w:rPr>
            </w:pPr>
            <w:r>
              <w:rPr>
                <w:rFonts w:hint="eastAsia" w:ascii="宋体"/>
                <w:color w:val="auto"/>
                <w:sz w:val="28"/>
                <w:szCs w:val="28"/>
                <w:highlight w:val="none"/>
                <w:lang w:val="en-US" w:eastAsia="zh-CN"/>
              </w:rPr>
              <w:t>2024</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10</w:t>
            </w:r>
            <w:r>
              <w:rPr>
                <w:rFonts w:hint="eastAsia" w:ascii="宋体"/>
                <w:color w:val="auto"/>
                <w:sz w:val="28"/>
                <w:szCs w:val="28"/>
                <w:highlight w:val="none"/>
              </w:rPr>
              <w:t>日</w:t>
            </w:r>
          </w:p>
          <w:p w14:paraId="40FDB1C6">
            <w:pPr>
              <w:spacing w:line="520" w:lineRule="exact"/>
              <w:ind w:firstLine="5880" w:firstLineChars="2100"/>
              <w:rPr>
                <w:rFonts w:hint="eastAsia" w:ascii="宋体"/>
                <w:color w:val="auto"/>
                <w:sz w:val="28"/>
                <w:szCs w:val="28"/>
                <w:highlight w:val="none"/>
              </w:rPr>
            </w:pPr>
          </w:p>
        </w:tc>
      </w:tr>
      <w:tr w14:paraId="03155669">
        <w:tblPrEx>
          <w:tblCellMar>
            <w:top w:w="0" w:type="dxa"/>
            <w:left w:w="108" w:type="dxa"/>
            <w:bottom w:w="0" w:type="dxa"/>
            <w:right w:w="108" w:type="dxa"/>
          </w:tblCellMar>
        </w:tblPrEx>
        <w:trPr>
          <w:trHeight w:val="4961" w:hRule="atLeast"/>
          <w:jc w:val="center"/>
        </w:trPr>
        <w:tc>
          <w:tcPr>
            <w:tcW w:w="9340" w:type="dxa"/>
            <w:tcBorders>
              <w:top w:val="single" w:color="auto" w:sz="4" w:space="0"/>
              <w:left w:val="single" w:color="auto" w:sz="4" w:space="0"/>
              <w:bottom w:val="single" w:color="auto" w:sz="4" w:space="0"/>
              <w:right w:val="single" w:color="auto" w:sz="4" w:space="0"/>
            </w:tcBorders>
            <w:noWrap w:val="0"/>
            <w:vAlign w:val="top"/>
          </w:tcPr>
          <w:p w14:paraId="6AA63039">
            <w:pPr>
              <w:spacing w:line="440" w:lineRule="exact"/>
              <w:rPr>
                <w:rFonts w:hint="eastAsia" w:ascii="宋体"/>
                <w:color w:val="auto"/>
                <w:sz w:val="28"/>
                <w:szCs w:val="28"/>
                <w:highlight w:val="none"/>
              </w:rPr>
            </w:pPr>
          </w:p>
          <w:p w14:paraId="59A01D13">
            <w:pPr>
              <w:spacing w:line="520" w:lineRule="exact"/>
              <w:ind w:firstLine="560" w:firstLineChars="200"/>
              <w:rPr>
                <w:rFonts w:hint="eastAsia" w:ascii="宋体" w:eastAsia="宋体"/>
                <w:color w:val="auto"/>
                <w:sz w:val="28"/>
                <w:szCs w:val="28"/>
                <w:highlight w:val="none"/>
                <w:lang w:eastAsia="zh-CN"/>
              </w:rPr>
            </w:pPr>
            <w:r>
              <w:rPr>
                <w:rFonts w:hint="eastAsia" w:ascii="宋体"/>
                <w:color w:val="auto"/>
                <w:sz w:val="28"/>
                <w:szCs w:val="28"/>
                <w:highlight w:val="none"/>
                <w:lang w:eastAsia="zh-CN"/>
              </w:rPr>
              <w:t>招标代理机构</w:t>
            </w:r>
            <w:r>
              <w:rPr>
                <w:rFonts w:hint="eastAsia" w:ascii="宋体"/>
                <w:color w:val="auto"/>
                <w:sz w:val="28"/>
                <w:szCs w:val="28"/>
                <w:highlight w:val="none"/>
              </w:rPr>
              <w:t>：</w:t>
            </w:r>
            <w:r>
              <w:rPr>
                <w:rFonts w:hint="eastAsia" w:ascii="宋体"/>
                <w:color w:val="auto"/>
                <w:sz w:val="28"/>
                <w:szCs w:val="28"/>
                <w:highlight w:val="none"/>
                <w:lang w:eastAsia="zh-CN"/>
              </w:rPr>
              <w:t>定远县程锦规划勘察建筑设计院有限公司</w:t>
            </w:r>
          </w:p>
          <w:p w14:paraId="26D3E935">
            <w:pPr>
              <w:spacing w:line="520" w:lineRule="exact"/>
              <w:ind w:firstLine="560" w:firstLineChars="200"/>
              <w:rPr>
                <w:rFonts w:hint="eastAsia" w:ascii="宋体" w:eastAsia="宋体"/>
                <w:color w:val="auto"/>
                <w:sz w:val="28"/>
                <w:szCs w:val="28"/>
                <w:highlight w:val="none"/>
                <w:lang w:eastAsia="zh-CN"/>
              </w:rPr>
            </w:pPr>
            <w:r>
              <w:rPr>
                <w:rFonts w:hint="eastAsia" w:ascii="宋体"/>
                <w:color w:val="auto"/>
                <w:sz w:val="28"/>
                <w:szCs w:val="28"/>
                <w:highlight w:val="none"/>
              </w:rPr>
              <w:t>联 系 人：</w:t>
            </w:r>
            <w:r>
              <w:rPr>
                <w:rFonts w:hint="eastAsia" w:ascii="宋体"/>
                <w:color w:val="auto"/>
                <w:sz w:val="28"/>
                <w:szCs w:val="28"/>
                <w:highlight w:val="none"/>
                <w:lang w:eastAsia="zh-CN"/>
              </w:rPr>
              <w:t>陈星辰</w:t>
            </w:r>
          </w:p>
          <w:p w14:paraId="3655EEED">
            <w:pPr>
              <w:spacing w:line="520" w:lineRule="exact"/>
              <w:ind w:firstLine="560" w:firstLineChars="200"/>
              <w:rPr>
                <w:rFonts w:hint="eastAsia" w:ascii="宋体" w:eastAsia="宋体"/>
                <w:color w:val="auto"/>
                <w:sz w:val="28"/>
                <w:szCs w:val="28"/>
                <w:highlight w:val="none"/>
                <w:lang w:eastAsia="zh-CN"/>
              </w:rPr>
            </w:pPr>
            <w:r>
              <w:rPr>
                <w:rFonts w:hint="eastAsia" w:ascii="宋体"/>
                <w:color w:val="auto"/>
                <w:sz w:val="28"/>
                <w:szCs w:val="28"/>
                <w:highlight w:val="none"/>
              </w:rPr>
              <w:t>联系电话：</w:t>
            </w:r>
            <w:r>
              <w:rPr>
                <w:rFonts w:hint="eastAsia" w:ascii="宋体"/>
                <w:color w:val="auto"/>
                <w:sz w:val="28"/>
                <w:szCs w:val="28"/>
                <w:highlight w:val="none"/>
                <w:lang w:eastAsia="zh-CN"/>
              </w:rPr>
              <w:t>0550-4881051</w:t>
            </w:r>
          </w:p>
          <w:p w14:paraId="4DA99534">
            <w:pPr>
              <w:spacing w:line="520" w:lineRule="exact"/>
              <w:ind w:firstLine="6300" w:firstLineChars="2250"/>
              <w:rPr>
                <w:rFonts w:hint="eastAsia" w:ascii="宋体"/>
                <w:color w:val="auto"/>
                <w:sz w:val="28"/>
                <w:szCs w:val="28"/>
                <w:highlight w:val="none"/>
              </w:rPr>
            </w:pPr>
          </w:p>
          <w:p w14:paraId="6A075E5A">
            <w:pPr>
              <w:pStyle w:val="2"/>
              <w:rPr>
                <w:rFonts w:hint="eastAsia"/>
                <w:color w:val="auto"/>
                <w:highlight w:val="none"/>
              </w:rPr>
            </w:pPr>
          </w:p>
          <w:p w14:paraId="687106D3">
            <w:pPr>
              <w:spacing w:line="520" w:lineRule="exact"/>
              <w:ind w:firstLine="5880" w:firstLineChars="2100"/>
              <w:rPr>
                <w:rFonts w:hint="eastAsia" w:ascii="宋体"/>
                <w:color w:val="auto"/>
                <w:sz w:val="28"/>
                <w:szCs w:val="28"/>
                <w:highlight w:val="none"/>
              </w:rPr>
            </w:pPr>
            <w:r>
              <w:rPr>
                <w:rFonts w:hint="eastAsia" w:ascii="宋体"/>
                <w:color w:val="auto"/>
                <w:sz w:val="28"/>
                <w:szCs w:val="28"/>
                <w:highlight w:val="none"/>
                <w:lang w:val="en-US" w:eastAsia="zh-CN"/>
              </w:rPr>
              <w:t>2024</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10</w:t>
            </w:r>
            <w:r>
              <w:rPr>
                <w:rFonts w:hint="eastAsia" w:ascii="宋体"/>
                <w:color w:val="auto"/>
                <w:sz w:val="28"/>
                <w:szCs w:val="28"/>
                <w:highlight w:val="none"/>
              </w:rPr>
              <w:t>日</w:t>
            </w:r>
          </w:p>
          <w:p w14:paraId="0D7F4B67">
            <w:pPr>
              <w:spacing w:line="540" w:lineRule="exact"/>
              <w:ind w:firstLine="5880" w:firstLineChars="2100"/>
              <w:rPr>
                <w:rFonts w:hint="eastAsia" w:ascii="宋体"/>
                <w:color w:val="auto"/>
                <w:sz w:val="28"/>
                <w:szCs w:val="28"/>
                <w:highlight w:val="none"/>
              </w:rPr>
            </w:pPr>
          </w:p>
        </w:tc>
      </w:tr>
    </w:tbl>
    <w:p w14:paraId="0030A0C1">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F489">
    <w:pPr>
      <w:pStyle w:val="16"/>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5D50">
    <w:pPr>
      <w:pStyle w:val="16"/>
      <w:tabs>
        <w:tab w:val="clear" w:pos="4153"/>
        <w:tab w:val="clear" w:pos="8306"/>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182D">
    <w:pPr>
      <w:pStyle w:val="16"/>
      <w:tabs>
        <w:tab w:val="clear" w:pos="4153"/>
        <w:tab w:val="clear" w:pos="8306"/>
      </w:tabs>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58D34">
                          <w:pPr>
                            <w:pStyle w:val="16"/>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25E58D34">
                    <w:pPr>
                      <w:pStyle w:val="16"/>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79E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ADFF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8AC0">
    <w:pPr>
      <w:pStyle w:val="16"/>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1FFBF">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5981FFBF">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131B">
    <w:pPr>
      <w:pStyle w:val="17"/>
      <w:pBdr>
        <w:bottom w:val="none" w:color="auto" w:sz="0" w:space="0"/>
      </w:pBdr>
      <w:tabs>
        <w:tab w:val="clear" w:pos="4153"/>
        <w:tab w:val="clear" w:pos="8306"/>
      </w:tabs>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437C">
    <w:pPr>
      <w:pStyle w:val="17"/>
      <w:pBdr>
        <w:top w:val="none" w:color="000000" w:sz="0" w:space="0"/>
        <w:left w:val="none" w:color="000000" w:sz="0" w:space="0"/>
        <w:bottom w:val="none" w:color="000000" w:sz="0" w:space="0"/>
        <w:right w:val="none" w:color="000000"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63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A778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D4B3">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F60FE"/>
    <w:multiLevelType w:val="singleLevel"/>
    <w:tmpl w:val="949F60FE"/>
    <w:lvl w:ilvl="0" w:tentative="0">
      <w:start w:val="29"/>
      <w:numFmt w:val="decimal"/>
      <w:suff w:val="space"/>
      <w:lvlText w:val="%1."/>
      <w:lvlJc w:val="left"/>
    </w:lvl>
  </w:abstractNum>
  <w:abstractNum w:abstractNumId="1">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GMxNzlkMDg3ODdiYzYzYmFkNTBkNjdmOWQ4MjgifQ=="/>
  </w:docVars>
  <w:rsids>
    <w:rsidRoot w:val="00172A27"/>
    <w:rsid w:val="00135135"/>
    <w:rsid w:val="010333FC"/>
    <w:rsid w:val="01337464"/>
    <w:rsid w:val="015D3A6D"/>
    <w:rsid w:val="016A540A"/>
    <w:rsid w:val="01AF090B"/>
    <w:rsid w:val="01BB2F26"/>
    <w:rsid w:val="01ED7E75"/>
    <w:rsid w:val="02017E14"/>
    <w:rsid w:val="020442B2"/>
    <w:rsid w:val="021D00AE"/>
    <w:rsid w:val="0226120E"/>
    <w:rsid w:val="02BB4EF8"/>
    <w:rsid w:val="02D575D1"/>
    <w:rsid w:val="032558E3"/>
    <w:rsid w:val="032C7D6B"/>
    <w:rsid w:val="03D63D60"/>
    <w:rsid w:val="03DC5C2A"/>
    <w:rsid w:val="04227854"/>
    <w:rsid w:val="044251E6"/>
    <w:rsid w:val="046900C4"/>
    <w:rsid w:val="049D55FD"/>
    <w:rsid w:val="04BA1642"/>
    <w:rsid w:val="04F44669"/>
    <w:rsid w:val="0516089E"/>
    <w:rsid w:val="052B05C1"/>
    <w:rsid w:val="056A6906"/>
    <w:rsid w:val="058E2CEA"/>
    <w:rsid w:val="067A7CBC"/>
    <w:rsid w:val="06EB1E29"/>
    <w:rsid w:val="077B7BDA"/>
    <w:rsid w:val="077C4750"/>
    <w:rsid w:val="07C00414"/>
    <w:rsid w:val="07DF609F"/>
    <w:rsid w:val="083F48D3"/>
    <w:rsid w:val="08513A4A"/>
    <w:rsid w:val="08857B2E"/>
    <w:rsid w:val="08C317C1"/>
    <w:rsid w:val="08F5654E"/>
    <w:rsid w:val="090A2FCF"/>
    <w:rsid w:val="097B03DD"/>
    <w:rsid w:val="09936406"/>
    <w:rsid w:val="09A4743D"/>
    <w:rsid w:val="09B63701"/>
    <w:rsid w:val="0A0C71A7"/>
    <w:rsid w:val="0A3900A9"/>
    <w:rsid w:val="0A410972"/>
    <w:rsid w:val="0A49771E"/>
    <w:rsid w:val="0A513D6B"/>
    <w:rsid w:val="0A85284D"/>
    <w:rsid w:val="0A8C4462"/>
    <w:rsid w:val="0B19063D"/>
    <w:rsid w:val="0B584153"/>
    <w:rsid w:val="0B7305A8"/>
    <w:rsid w:val="0BFF7C97"/>
    <w:rsid w:val="0C1A3F94"/>
    <w:rsid w:val="0C23087C"/>
    <w:rsid w:val="0C475EF7"/>
    <w:rsid w:val="0CA74F3F"/>
    <w:rsid w:val="0CD50E31"/>
    <w:rsid w:val="0CEB69A8"/>
    <w:rsid w:val="0D380606"/>
    <w:rsid w:val="0D55028B"/>
    <w:rsid w:val="0D5B6749"/>
    <w:rsid w:val="0D9E1CCD"/>
    <w:rsid w:val="0DAE601A"/>
    <w:rsid w:val="0DE14492"/>
    <w:rsid w:val="0DE72C72"/>
    <w:rsid w:val="0E087B8B"/>
    <w:rsid w:val="0F326680"/>
    <w:rsid w:val="0F4208FB"/>
    <w:rsid w:val="0FAF0691"/>
    <w:rsid w:val="0FEB55C0"/>
    <w:rsid w:val="0FEE190A"/>
    <w:rsid w:val="101257B9"/>
    <w:rsid w:val="10273EDA"/>
    <w:rsid w:val="10303CBC"/>
    <w:rsid w:val="1031636F"/>
    <w:rsid w:val="10457042"/>
    <w:rsid w:val="107B08C4"/>
    <w:rsid w:val="10AA6EA4"/>
    <w:rsid w:val="10B4650E"/>
    <w:rsid w:val="10CD3A31"/>
    <w:rsid w:val="10F2693A"/>
    <w:rsid w:val="10F73EBD"/>
    <w:rsid w:val="11215B33"/>
    <w:rsid w:val="11273BC1"/>
    <w:rsid w:val="1152454E"/>
    <w:rsid w:val="1182211B"/>
    <w:rsid w:val="119D7A72"/>
    <w:rsid w:val="11B86BB3"/>
    <w:rsid w:val="11D726E2"/>
    <w:rsid w:val="120E39AF"/>
    <w:rsid w:val="123122E5"/>
    <w:rsid w:val="124A75FA"/>
    <w:rsid w:val="12932D65"/>
    <w:rsid w:val="12FA7522"/>
    <w:rsid w:val="130437CA"/>
    <w:rsid w:val="13133AF1"/>
    <w:rsid w:val="1371552D"/>
    <w:rsid w:val="1393437A"/>
    <w:rsid w:val="13FC759B"/>
    <w:rsid w:val="1427103E"/>
    <w:rsid w:val="144678B2"/>
    <w:rsid w:val="14863595"/>
    <w:rsid w:val="14F70BDB"/>
    <w:rsid w:val="15205B5C"/>
    <w:rsid w:val="15537A17"/>
    <w:rsid w:val="159816B6"/>
    <w:rsid w:val="15E57011"/>
    <w:rsid w:val="15F67B6F"/>
    <w:rsid w:val="16304F7E"/>
    <w:rsid w:val="164C4666"/>
    <w:rsid w:val="165027E8"/>
    <w:rsid w:val="16B03286"/>
    <w:rsid w:val="171D28C2"/>
    <w:rsid w:val="17291656"/>
    <w:rsid w:val="174E1925"/>
    <w:rsid w:val="175229F1"/>
    <w:rsid w:val="176D65EE"/>
    <w:rsid w:val="17AF5768"/>
    <w:rsid w:val="17DD3FDD"/>
    <w:rsid w:val="18830CFF"/>
    <w:rsid w:val="189551EC"/>
    <w:rsid w:val="19117A45"/>
    <w:rsid w:val="1A513A01"/>
    <w:rsid w:val="1A927991"/>
    <w:rsid w:val="1AA92E85"/>
    <w:rsid w:val="1AAD35EF"/>
    <w:rsid w:val="1B067B43"/>
    <w:rsid w:val="1B215146"/>
    <w:rsid w:val="1B3950CA"/>
    <w:rsid w:val="1C207573"/>
    <w:rsid w:val="1C282283"/>
    <w:rsid w:val="1C36633C"/>
    <w:rsid w:val="1C5207A8"/>
    <w:rsid w:val="1C5D2A29"/>
    <w:rsid w:val="1CA1321C"/>
    <w:rsid w:val="1D3059F5"/>
    <w:rsid w:val="1D451F61"/>
    <w:rsid w:val="1D53173A"/>
    <w:rsid w:val="1D623AB5"/>
    <w:rsid w:val="1DF93765"/>
    <w:rsid w:val="1E187EE5"/>
    <w:rsid w:val="1E1E729B"/>
    <w:rsid w:val="1E400EB7"/>
    <w:rsid w:val="1EAB15D6"/>
    <w:rsid w:val="1EEC7B0C"/>
    <w:rsid w:val="1EEF1E15"/>
    <w:rsid w:val="1F4F2DFC"/>
    <w:rsid w:val="1F5C51DC"/>
    <w:rsid w:val="1F710EEF"/>
    <w:rsid w:val="1FDE3338"/>
    <w:rsid w:val="20567262"/>
    <w:rsid w:val="20751E46"/>
    <w:rsid w:val="20997D3C"/>
    <w:rsid w:val="21101829"/>
    <w:rsid w:val="216A32A5"/>
    <w:rsid w:val="21825873"/>
    <w:rsid w:val="21E36F67"/>
    <w:rsid w:val="22284619"/>
    <w:rsid w:val="2299193D"/>
    <w:rsid w:val="22AB5C73"/>
    <w:rsid w:val="23C14A65"/>
    <w:rsid w:val="23DF320B"/>
    <w:rsid w:val="23F53DA4"/>
    <w:rsid w:val="24050727"/>
    <w:rsid w:val="24682B51"/>
    <w:rsid w:val="250D439B"/>
    <w:rsid w:val="25360432"/>
    <w:rsid w:val="253C7D43"/>
    <w:rsid w:val="255F1FEB"/>
    <w:rsid w:val="258B37CE"/>
    <w:rsid w:val="25B564A9"/>
    <w:rsid w:val="25BD197D"/>
    <w:rsid w:val="25F52514"/>
    <w:rsid w:val="26163096"/>
    <w:rsid w:val="264D26EE"/>
    <w:rsid w:val="26971AE9"/>
    <w:rsid w:val="26A03789"/>
    <w:rsid w:val="26A11F2D"/>
    <w:rsid w:val="26E51B99"/>
    <w:rsid w:val="27182EAE"/>
    <w:rsid w:val="272D27FE"/>
    <w:rsid w:val="27407BFD"/>
    <w:rsid w:val="27840CEE"/>
    <w:rsid w:val="27DA61C4"/>
    <w:rsid w:val="27E92DC7"/>
    <w:rsid w:val="28194FE3"/>
    <w:rsid w:val="28AD0A3A"/>
    <w:rsid w:val="28E0583E"/>
    <w:rsid w:val="292569BA"/>
    <w:rsid w:val="2966290B"/>
    <w:rsid w:val="296A3BB5"/>
    <w:rsid w:val="29E058C5"/>
    <w:rsid w:val="2A4915D0"/>
    <w:rsid w:val="2A6C171E"/>
    <w:rsid w:val="2AC91013"/>
    <w:rsid w:val="2AFF33BB"/>
    <w:rsid w:val="2B065BCD"/>
    <w:rsid w:val="2B2D0D9B"/>
    <w:rsid w:val="2B466267"/>
    <w:rsid w:val="2B830B12"/>
    <w:rsid w:val="2BAC723A"/>
    <w:rsid w:val="2BBC1E69"/>
    <w:rsid w:val="2BD459DE"/>
    <w:rsid w:val="2C054667"/>
    <w:rsid w:val="2C0A5894"/>
    <w:rsid w:val="2C354F20"/>
    <w:rsid w:val="2C366027"/>
    <w:rsid w:val="2C813F1D"/>
    <w:rsid w:val="2C835FC7"/>
    <w:rsid w:val="2CF55D49"/>
    <w:rsid w:val="2D9E7E85"/>
    <w:rsid w:val="2DA30834"/>
    <w:rsid w:val="2DC0789F"/>
    <w:rsid w:val="2DC90827"/>
    <w:rsid w:val="2DD22097"/>
    <w:rsid w:val="2DD47516"/>
    <w:rsid w:val="2E175F35"/>
    <w:rsid w:val="2E1F7E8A"/>
    <w:rsid w:val="2E980D78"/>
    <w:rsid w:val="2F047C59"/>
    <w:rsid w:val="2F3D23DC"/>
    <w:rsid w:val="2F8F7515"/>
    <w:rsid w:val="2FC72761"/>
    <w:rsid w:val="302517AB"/>
    <w:rsid w:val="3037458D"/>
    <w:rsid w:val="30523A24"/>
    <w:rsid w:val="30A4656A"/>
    <w:rsid w:val="30B7236C"/>
    <w:rsid w:val="30C35D7B"/>
    <w:rsid w:val="30E46880"/>
    <w:rsid w:val="31091AB9"/>
    <w:rsid w:val="312A59C4"/>
    <w:rsid w:val="31612B0A"/>
    <w:rsid w:val="318B61D3"/>
    <w:rsid w:val="321C0EAA"/>
    <w:rsid w:val="324D0326"/>
    <w:rsid w:val="32603DE9"/>
    <w:rsid w:val="329F434A"/>
    <w:rsid w:val="32B204DB"/>
    <w:rsid w:val="32BC3E0D"/>
    <w:rsid w:val="32F272D5"/>
    <w:rsid w:val="330364BD"/>
    <w:rsid w:val="33B51436"/>
    <w:rsid w:val="33C806F0"/>
    <w:rsid w:val="33F429EC"/>
    <w:rsid w:val="340053F5"/>
    <w:rsid w:val="34C52AAB"/>
    <w:rsid w:val="34E446BC"/>
    <w:rsid w:val="34E50C91"/>
    <w:rsid w:val="34F6771C"/>
    <w:rsid w:val="35147855"/>
    <w:rsid w:val="354148D9"/>
    <w:rsid w:val="354D6418"/>
    <w:rsid w:val="35934D13"/>
    <w:rsid w:val="35BE60CB"/>
    <w:rsid w:val="362846F9"/>
    <w:rsid w:val="369C2BF7"/>
    <w:rsid w:val="36C17B9E"/>
    <w:rsid w:val="36EE533A"/>
    <w:rsid w:val="37175297"/>
    <w:rsid w:val="371E523F"/>
    <w:rsid w:val="37855E04"/>
    <w:rsid w:val="379522F8"/>
    <w:rsid w:val="37A65B39"/>
    <w:rsid w:val="37A75FD7"/>
    <w:rsid w:val="37C456EC"/>
    <w:rsid w:val="37EE32C1"/>
    <w:rsid w:val="38126202"/>
    <w:rsid w:val="382C508A"/>
    <w:rsid w:val="38303DCF"/>
    <w:rsid w:val="38811B74"/>
    <w:rsid w:val="38FC36B9"/>
    <w:rsid w:val="39212C67"/>
    <w:rsid w:val="392D2B4F"/>
    <w:rsid w:val="39495F88"/>
    <w:rsid w:val="39591555"/>
    <w:rsid w:val="397A7F9D"/>
    <w:rsid w:val="397F3F36"/>
    <w:rsid w:val="39810F18"/>
    <w:rsid w:val="39902D77"/>
    <w:rsid w:val="39C144B3"/>
    <w:rsid w:val="3ACB1EC7"/>
    <w:rsid w:val="3ACE07FD"/>
    <w:rsid w:val="3AD153F6"/>
    <w:rsid w:val="3AD24F41"/>
    <w:rsid w:val="3AED3866"/>
    <w:rsid w:val="3B1C5CA0"/>
    <w:rsid w:val="3B257A70"/>
    <w:rsid w:val="3B3A47ED"/>
    <w:rsid w:val="3B400BA8"/>
    <w:rsid w:val="3BC11D5E"/>
    <w:rsid w:val="3BEE3CC0"/>
    <w:rsid w:val="3C5A7674"/>
    <w:rsid w:val="3C6F3487"/>
    <w:rsid w:val="3C7566AB"/>
    <w:rsid w:val="3C8546F7"/>
    <w:rsid w:val="3CBC6F89"/>
    <w:rsid w:val="3CCF40AD"/>
    <w:rsid w:val="3CD2110D"/>
    <w:rsid w:val="3D57146D"/>
    <w:rsid w:val="3D8D6B67"/>
    <w:rsid w:val="3DD376D7"/>
    <w:rsid w:val="3DE769EE"/>
    <w:rsid w:val="3E01364F"/>
    <w:rsid w:val="3EC314F9"/>
    <w:rsid w:val="3EC82FB3"/>
    <w:rsid w:val="3EC85BF0"/>
    <w:rsid w:val="3EE96165"/>
    <w:rsid w:val="3F160EF7"/>
    <w:rsid w:val="3F3F36A7"/>
    <w:rsid w:val="3F45154E"/>
    <w:rsid w:val="3F7A3CD6"/>
    <w:rsid w:val="3FD052F4"/>
    <w:rsid w:val="3FD33BCB"/>
    <w:rsid w:val="3FDA1B56"/>
    <w:rsid w:val="40125821"/>
    <w:rsid w:val="40285A68"/>
    <w:rsid w:val="40817E1E"/>
    <w:rsid w:val="40866EAC"/>
    <w:rsid w:val="40A076BD"/>
    <w:rsid w:val="40BC26A4"/>
    <w:rsid w:val="4180489C"/>
    <w:rsid w:val="41A345A5"/>
    <w:rsid w:val="41E0516D"/>
    <w:rsid w:val="420112FB"/>
    <w:rsid w:val="420C6A99"/>
    <w:rsid w:val="4252670B"/>
    <w:rsid w:val="42752198"/>
    <w:rsid w:val="427633D4"/>
    <w:rsid w:val="42823081"/>
    <w:rsid w:val="43331B62"/>
    <w:rsid w:val="43430DB7"/>
    <w:rsid w:val="435C5E8A"/>
    <w:rsid w:val="43BE1126"/>
    <w:rsid w:val="43D04D71"/>
    <w:rsid w:val="43D52AC2"/>
    <w:rsid w:val="43DA5854"/>
    <w:rsid w:val="44140054"/>
    <w:rsid w:val="443040B4"/>
    <w:rsid w:val="449C6A74"/>
    <w:rsid w:val="44E73A68"/>
    <w:rsid w:val="451329BB"/>
    <w:rsid w:val="454D5A04"/>
    <w:rsid w:val="45760E67"/>
    <w:rsid w:val="45D32E7F"/>
    <w:rsid w:val="460100CD"/>
    <w:rsid w:val="46032EBE"/>
    <w:rsid w:val="46141E51"/>
    <w:rsid w:val="46670AB3"/>
    <w:rsid w:val="46B25D60"/>
    <w:rsid w:val="46CC73B9"/>
    <w:rsid w:val="471765ED"/>
    <w:rsid w:val="476F3796"/>
    <w:rsid w:val="478E23E4"/>
    <w:rsid w:val="47A23B2F"/>
    <w:rsid w:val="47A553F7"/>
    <w:rsid w:val="48032251"/>
    <w:rsid w:val="480D2D62"/>
    <w:rsid w:val="48511708"/>
    <w:rsid w:val="485553D9"/>
    <w:rsid w:val="486362F5"/>
    <w:rsid w:val="487D3D7D"/>
    <w:rsid w:val="4897331F"/>
    <w:rsid w:val="49060960"/>
    <w:rsid w:val="490E4D6E"/>
    <w:rsid w:val="4916326B"/>
    <w:rsid w:val="49362CD9"/>
    <w:rsid w:val="494A42B6"/>
    <w:rsid w:val="495A65D8"/>
    <w:rsid w:val="49654630"/>
    <w:rsid w:val="498F5BB1"/>
    <w:rsid w:val="499279B0"/>
    <w:rsid w:val="49CE113A"/>
    <w:rsid w:val="4A5472C5"/>
    <w:rsid w:val="4A817790"/>
    <w:rsid w:val="4AC9513F"/>
    <w:rsid w:val="4AEA1300"/>
    <w:rsid w:val="4B2772B4"/>
    <w:rsid w:val="4B526538"/>
    <w:rsid w:val="4BD74836"/>
    <w:rsid w:val="4C1C049B"/>
    <w:rsid w:val="4C9A0118"/>
    <w:rsid w:val="4CB97A8A"/>
    <w:rsid w:val="4D7C3F6E"/>
    <w:rsid w:val="4D8459AE"/>
    <w:rsid w:val="4D9A67C8"/>
    <w:rsid w:val="4D9B507E"/>
    <w:rsid w:val="4DA611AE"/>
    <w:rsid w:val="4DAB41CC"/>
    <w:rsid w:val="4DFA480C"/>
    <w:rsid w:val="4E0A5D19"/>
    <w:rsid w:val="4E2D3F3A"/>
    <w:rsid w:val="4E393320"/>
    <w:rsid w:val="4ED3580E"/>
    <w:rsid w:val="4F1D002E"/>
    <w:rsid w:val="4F26716A"/>
    <w:rsid w:val="4F52700C"/>
    <w:rsid w:val="4F725B5E"/>
    <w:rsid w:val="4FB25AFE"/>
    <w:rsid w:val="4FF604FE"/>
    <w:rsid w:val="503736B8"/>
    <w:rsid w:val="50A768A7"/>
    <w:rsid w:val="50F43794"/>
    <w:rsid w:val="50F814D6"/>
    <w:rsid w:val="5104569B"/>
    <w:rsid w:val="51111C9B"/>
    <w:rsid w:val="51116FD7"/>
    <w:rsid w:val="511C0C64"/>
    <w:rsid w:val="51380F81"/>
    <w:rsid w:val="514A7858"/>
    <w:rsid w:val="515E1A12"/>
    <w:rsid w:val="517E291F"/>
    <w:rsid w:val="51DB00B4"/>
    <w:rsid w:val="52B53E8E"/>
    <w:rsid w:val="52D049DF"/>
    <w:rsid w:val="53086AD7"/>
    <w:rsid w:val="53743232"/>
    <w:rsid w:val="53861D1A"/>
    <w:rsid w:val="53C57E08"/>
    <w:rsid w:val="53FE070E"/>
    <w:rsid w:val="54045B76"/>
    <w:rsid w:val="5424230B"/>
    <w:rsid w:val="544A5D82"/>
    <w:rsid w:val="54535039"/>
    <w:rsid w:val="54623A9E"/>
    <w:rsid w:val="54672773"/>
    <w:rsid w:val="54681AC1"/>
    <w:rsid w:val="55127880"/>
    <w:rsid w:val="55651BAC"/>
    <w:rsid w:val="55DA3BC3"/>
    <w:rsid w:val="55E71B19"/>
    <w:rsid w:val="55F56DF9"/>
    <w:rsid w:val="562B5EAA"/>
    <w:rsid w:val="564B6114"/>
    <w:rsid w:val="5671105F"/>
    <w:rsid w:val="570E02D7"/>
    <w:rsid w:val="575F5404"/>
    <w:rsid w:val="577613A7"/>
    <w:rsid w:val="57B6285A"/>
    <w:rsid w:val="57CA36D9"/>
    <w:rsid w:val="57F62812"/>
    <w:rsid w:val="58112E7E"/>
    <w:rsid w:val="58340368"/>
    <w:rsid w:val="586C0B52"/>
    <w:rsid w:val="58BA0C3B"/>
    <w:rsid w:val="595B03F0"/>
    <w:rsid w:val="59C74AA1"/>
    <w:rsid w:val="59E9491F"/>
    <w:rsid w:val="5A084C52"/>
    <w:rsid w:val="5A132EDD"/>
    <w:rsid w:val="5A7A0667"/>
    <w:rsid w:val="5ADD183D"/>
    <w:rsid w:val="5AF656AC"/>
    <w:rsid w:val="5B185FD4"/>
    <w:rsid w:val="5B5437AD"/>
    <w:rsid w:val="5B647D7D"/>
    <w:rsid w:val="5B8827F4"/>
    <w:rsid w:val="5B9608D0"/>
    <w:rsid w:val="5BA22477"/>
    <w:rsid w:val="5BB908C6"/>
    <w:rsid w:val="5BE41AE8"/>
    <w:rsid w:val="5C017FDC"/>
    <w:rsid w:val="5C0A1DD1"/>
    <w:rsid w:val="5C167132"/>
    <w:rsid w:val="5C3B671B"/>
    <w:rsid w:val="5C9B29F7"/>
    <w:rsid w:val="5CBD0F91"/>
    <w:rsid w:val="5CE77D3C"/>
    <w:rsid w:val="5CEC5DCA"/>
    <w:rsid w:val="5D0A200E"/>
    <w:rsid w:val="5D6134CC"/>
    <w:rsid w:val="5DC921D4"/>
    <w:rsid w:val="5DF908B4"/>
    <w:rsid w:val="5E05373A"/>
    <w:rsid w:val="5E1A5506"/>
    <w:rsid w:val="5EF65C92"/>
    <w:rsid w:val="5F393AE5"/>
    <w:rsid w:val="5F6E0BB6"/>
    <w:rsid w:val="5F972BB6"/>
    <w:rsid w:val="5F976CCB"/>
    <w:rsid w:val="5FBC5730"/>
    <w:rsid w:val="60997588"/>
    <w:rsid w:val="609A4982"/>
    <w:rsid w:val="60B151FE"/>
    <w:rsid w:val="61093C77"/>
    <w:rsid w:val="61170069"/>
    <w:rsid w:val="616F3282"/>
    <w:rsid w:val="620023CB"/>
    <w:rsid w:val="623F09C9"/>
    <w:rsid w:val="62830C62"/>
    <w:rsid w:val="629B72B4"/>
    <w:rsid w:val="62AA2731"/>
    <w:rsid w:val="62E56A99"/>
    <w:rsid w:val="6345341F"/>
    <w:rsid w:val="635A392B"/>
    <w:rsid w:val="637469CD"/>
    <w:rsid w:val="64542F38"/>
    <w:rsid w:val="64964A38"/>
    <w:rsid w:val="649B71BB"/>
    <w:rsid w:val="64B36217"/>
    <w:rsid w:val="64EC36A8"/>
    <w:rsid w:val="650224CC"/>
    <w:rsid w:val="65520F39"/>
    <w:rsid w:val="6563073C"/>
    <w:rsid w:val="65C83903"/>
    <w:rsid w:val="65DD0843"/>
    <w:rsid w:val="65FB515D"/>
    <w:rsid w:val="66007F35"/>
    <w:rsid w:val="66822A72"/>
    <w:rsid w:val="66B9305E"/>
    <w:rsid w:val="66CE58F4"/>
    <w:rsid w:val="67291611"/>
    <w:rsid w:val="679E5FC5"/>
    <w:rsid w:val="68DD3E65"/>
    <w:rsid w:val="69182864"/>
    <w:rsid w:val="692877FE"/>
    <w:rsid w:val="693469CC"/>
    <w:rsid w:val="694E4FFE"/>
    <w:rsid w:val="69653616"/>
    <w:rsid w:val="69A87C65"/>
    <w:rsid w:val="69B1158D"/>
    <w:rsid w:val="6A274783"/>
    <w:rsid w:val="6A6503BF"/>
    <w:rsid w:val="6AA06A0F"/>
    <w:rsid w:val="6B0F149F"/>
    <w:rsid w:val="6B500F49"/>
    <w:rsid w:val="6B7B3FF3"/>
    <w:rsid w:val="6B847F9F"/>
    <w:rsid w:val="6B9A75DB"/>
    <w:rsid w:val="6C267A8C"/>
    <w:rsid w:val="6CB73B95"/>
    <w:rsid w:val="6CBF7125"/>
    <w:rsid w:val="6CF5257F"/>
    <w:rsid w:val="6CF671EA"/>
    <w:rsid w:val="6D3849F7"/>
    <w:rsid w:val="6D8343C6"/>
    <w:rsid w:val="6DEC4B2F"/>
    <w:rsid w:val="6DFA781D"/>
    <w:rsid w:val="6E5C0ACE"/>
    <w:rsid w:val="6EE247E9"/>
    <w:rsid w:val="6F165AD9"/>
    <w:rsid w:val="6F86531E"/>
    <w:rsid w:val="6F891B0C"/>
    <w:rsid w:val="70681AAB"/>
    <w:rsid w:val="708E533C"/>
    <w:rsid w:val="70A24B63"/>
    <w:rsid w:val="70BF217E"/>
    <w:rsid w:val="70E707C8"/>
    <w:rsid w:val="713F5623"/>
    <w:rsid w:val="719B07FD"/>
    <w:rsid w:val="71B763EC"/>
    <w:rsid w:val="71E45C61"/>
    <w:rsid w:val="723A3687"/>
    <w:rsid w:val="725B2E1D"/>
    <w:rsid w:val="72D82ABE"/>
    <w:rsid w:val="72F1436A"/>
    <w:rsid w:val="72FB4C19"/>
    <w:rsid w:val="73F531FC"/>
    <w:rsid w:val="740325C1"/>
    <w:rsid w:val="74065409"/>
    <w:rsid w:val="740F5E7A"/>
    <w:rsid w:val="74264130"/>
    <w:rsid w:val="743C42AB"/>
    <w:rsid w:val="74420ABE"/>
    <w:rsid w:val="74426E03"/>
    <w:rsid w:val="74460FED"/>
    <w:rsid w:val="744B232A"/>
    <w:rsid w:val="744F471E"/>
    <w:rsid w:val="745F2CB0"/>
    <w:rsid w:val="74626AE3"/>
    <w:rsid w:val="749A5DF4"/>
    <w:rsid w:val="75836D2A"/>
    <w:rsid w:val="758A612B"/>
    <w:rsid w:val="75DC604B"/>
    <w:rsid w:val="75DC7C1F"/>
    <w:rsid w:val="75E9468B"/>
    <w:rsid w:val="762C28E4"/>
    <w:rsid w:val="766829D0"/>
    <w:rsid w:val="76B13D52"/>
    <w:rsid w:val="76D90EFC"/>
    <w:rsid w:val="76F03F35"/>
    <w:rsid w:val="77F518D0"/>
    <w:rsid w:val="78266FD2"/>
    <w:rsid w:val="786F60F8"/>
    <w:rsid w:val="791D5DA2"/>
    <w:rsid w:val="792F57EB"/>
    <w:rsid w:val="799C1155"/>
    <w:rsid w:val="7AAC6D0A"/>
    <w:rsid w:val="7AD9148D"/>
    <w:rsid w:val="7B5119BC"/>
    <w:rsid w:val="7B617066"/>
    <w:rsid w:val="7BB26CAB"/>
    <w:rsid w:val="7C107020"/>
    <w:rsid w:val="7C2074F7"/>
    <w:rsid w:val="7C8C688E"/>
    <w:rsid w:val="7CA65E91"/>
    <w:rsid w:val="7CAF663E"/>
    <w:rsid w:val="7CCD3F2A"/>
    <w:rsid w:val="7D373282"/>
    <w:rsid w:val="7D580A83"/>
    <w:rsid w:val="7D5B0573"/>
    <w:rsid w:val="7D7B292A"/>
    <w:rsid w:val="7DCE74C1"/>
    <w:rsid w:val="7F1302F1"/>
    <w:rsid w:val="7F1A3ECA"/>
    <w:rsid w:val="7F537BD9"/>
    <w:rsid w:val="7F587460"/>
    <w:rsid w:val="7F6430F7"/>
    <w:rsid w:val="7F763489"/>
    <w:rsid w:val="7F7D0255"/>
    <w:rsid w:val="7F95489F"/>
    <w:rsid w:val="7FE70538"/>
    <w:rsid w:val="BA7D50D8"/>
    <w:rsid w:val="BEED284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spacing w:before="340" w:beforeLines="0" w:after="330" w:afterLines="0" w:line="578" w:lineRule="auto"/>
      <w:outlineLvl w:val="0"/>
    </w:pPr>
    <w:rPr>
      <w:b/>
      <w:bCs/>
      <w:kern w:val="44"/>
      <w:sz w:val="44"/>
      <w:szCs w:val="44"/>
    </w:rPr>
  </w:style>
  <w:style w:type="paragraph" w:styleId="6">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7">
    <w:name w:val="heading 3"/>
    <w:basedOn w:val="1"/>
    <w:next w:val="8"/>
    <w:autoRedefine/>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0"/>
    <w:pPr>
      <w:adjustRightInd w:val="0"/>
      <w:spacing w:line="360" w:lineRule="atLeast"/>
      <w:ind w:firstLine="482"/>
      <w:textAlignment w:val="baseline"/>
    </w:pPr>
    <w:rPr>
      <w:kern w:val="0"/>
      <w:sz w:val="24"/>
      <w:szCs w:val="20"/>
    </w:rPr>
  </w:style>
  <w:style w:type="paragraph" w:styleId="9">
    <w:name w:val="toc 7"/>
    <w:basedOn w:val="1"/>
    <w:next w:val="1"/>
    <w:autoRedefine/>
    <w:unhideWhenUsed/>
    <w:qFormat/>
    <w:uiPriority w:val="39"/>
    <w:pPr>
      <w:ind w:left="1260"/>
      <w:jc w:val="left"/>
    </w:pPr>
    <w:rPr>
      <w:sz w:val="18"/>
      <w:szCs w:val="18"/>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rPr>
      <w:rFonts w:ascii="宋体" w:eastAsia="宋体"/>
      <w:sz w:val="24"/>
    </w:rPr>
  </w:style>
  <w:style w:type="paragraph" w:styleId="12">
    <w:name w:val="Body Text"/>
    <w:basedOn w:val="1"/>
    <w:next w:val="1"/>
    <w:autoRedefine/>
    <w:semiHidden/>
    <w:qFormat/>
    <w:uiPriority w:val="0"/>
    <w:pPr>
      <w:spacing w:after="12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color w:val="000000"/>
      <w:szCs w:val="20"/>
      <w:u w:val="none" w:color="000000"/>
    </w:rPr>
  </w:style>
  <w:style w:type="paragraph" w:styleId="15">
    <w:name w:val="Date"/>
    <w:basedOn w:val="1"/>
    <w:next w:val="1"/>
    <w:autoRedefine/>
    <w:qFormat/>
    <w:uiPriority w:val="0"/>
    <w:rPr>
      <w:rFonts w:ascii="Arial" w:hAnsi="Arial" w:eastAsia="仿宋_GB2312"/>
      <w:color w:val="000000"/>
      <w:sz w:val="32"/>
      <w:szCs w:val="20"/>
      <w:u w:val="none" w:color="00000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next w:val="12"/>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autoRedefine/>
    <w:qFormat/>
    <w:uiPriority w:val="0"/>
    <w:pPr>
      <w:ind w:left="420" w:leftChars="200"/>
    </w:pPr>
  </w:style>
  <w:style w:type="paragraph" w:styleId="21">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autoRedefine/>
    <w:qFormat/>
    <w:uiPriority w:val="0"/>
    <w:pPr>
      <w:adjustRightInd/>
      <w:spacing w:after="120" w:line="240" w:lineRule="auto"/>
      <w:ind w:firstLine="420" w:firstLineChars="100"/>
      <w:jc w:val="both"/>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qFormat/>
    <w:uiPriority w:val="0"/>
    <w:rPr>
      <w:color w:val="800080"/>
      <w:sz w:val="0"/>
      <w:szCs w:val="0"/>
      <w:u w:val="none"/>
      <w:bdr w:val="single" w:color="FE8F00" w:sz="6" w:space="0"/>
    </w:rPr>
  </w:style>
  <w:style w:type="character" w:styleId="27">
    <w:name w:val="HTML Definition"/>
    <w:basedOn w:val="25"/>
    <w:autoRedefine/>
    <w:qFormat/>
    <w:uiPriority w:val="0"/>
  </w:style>
  <w:style w:type="character" w:styleId="28">
    <w:name w:val="HTML Typewriter"/>
    <w:basedOn w:val="25"/>
    <w:autoRedefine/>
    <w:qFormat/>
    <w:uiPriority w:val="0"/>
    <w:rPr>
      <w:rFonts w:hint="default" w:ascii="monospace" w:hAnsi="monospace" w:eastAsia="monospace" w:cs="monospace"/>
      <w:sz w:val="20"/>
    </w:rPr>
  </w:style>
  <w:style w:type="character" w:styleId="29">
    <w:name w:val="HTML Acronym"/>
    <w:basedOn w:val="25"/>
    <w:autoRedefine/>
    <w:qFormat/>
    <w:uiPriority w:val="0"/>
  </w:style>
  <w:style w:type="character" w:styleId="30">
    <w:name w:val="HTML Variable"/>
    <w:basedOn w:val="25"/>
    <w:autoRedefine/>
    <w:qFormat/>
    <w:uiPriority w:val="0"/>
  </w:style>
  <w:style w:type="character" w:styleId="31">
    <w:name w:val="Hyperlink"/>
    <w:basedOn w:val="25"/>
    <w:autoRedefine/>
    <w:qFormat/>
    <w:uiPriority w:val="0"/>
    <w:rPr>
      <w:color w:val="0000FF"/>
      <w:u w:val="none"/>
    </w:rPr>
  </w:style>
  <w:style w:type="character" w:styleId="32">
    <w:name w:val="HTML Code"/>
    <w:basedOn w:val="25"/>
    <w:autoRedefine/>
    <w:qFormat/>
    <w:uiPriority w:val="0"/>
    <w:rPr>
      <w:rFonts w:ascii="monospace" w:hAnsi="monospace" w:eastAsia="monospace" w:cs="monospace"/>
      <w:sz w:val="20"/>
    </w:rPr>
  </w:style>
  <w:style w:type="character" w:styleId="33">
    <w:name w:val="HTML Cite"/>
    <w:basedOn w:val="25"/>
    <w:autoRedefine/>
    <w:qFormat/>
    <w:uiPriority w:val="0"/>
  </w:style>
  <w:style w:type="character" w:styleId="34">
    <w:name w:val="HTML Keyboard"/>
    <w:basedOn w:val="25"/>
    <w:autoRedefine/>
    <w:qFormat/>
    <w:uiPriority w:val="0"/>
    <w:rPr>
      <w:rFonts w:hint="default" w:ascii="monospace" w:hAnsi="monospace" w:eastAsia="monospace" w:cs="monospace"/>
      <w:sz w:val="20"/>
    </w:rPr>
  </w:style>
  <w:style w:type="character" w:styleId="35">
    <w:name w:val="HTML Sample"/>
    <w:basedOn w:val="25"/>
    <w:autoRedefine/>
    <w:qFormat/>
    <w:uiPriority w:val="0"/>
    <w:rPr>
      <w:rFonts w:hint="default" w:ascii="monospace" w:hAnsi="monospace" w:eastAsia="monospace" w:cs="monospace"/>
    </w:rPr>
  </w:style>
  <w:style w:type="paragraph" w:customStyle="1" w:styleId="36">
    <w:name w:val="正文文字 8"/>
    <w:basedOn w:val="1"/>
    <w:next w:val="1"/>
    <w:autoRedefine/>
    <w:qFormat/>
    <w:uiPriority w:val="0"/>
    <w:pPr>
      <w:ind w:left="240"/>
    </w:pPr>
    <w:rPr>
      <w:sz w:val="16"/>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autoRedefine/>
    <w:qFormat/>
    <w:uiPriority w:val="34"/>
    <w:pPr>
      <w:ind w:firstLine="420" w:firstLineChars="200"/>
    </w:pPr>
  </w:style>
  <w:style w:type="paragraph" w:styleId="40">
    <w:name w:val="List Paragraph"/>
    <w:basedOn w:val="1"/>
    <w:autoRedefine/>
    <w:qFormat/>
    <w:uiPriority w:val="0"/>
    <w:pPr>
      <w:spacing w:line="360" w:lineRule="auto"/>
      <w:ind w:firstLine="420" w:firstLineChars="200"/>
    </w:pPr>
    <w:rPr>
      <w:rFonts w:ascii="宋体" w:hAnsi="宋体" w:cs="宋体"/>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text"/>
    <w:basedOn w:val="1"/>
    <w:autoRedefine/>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4">
    <w:name w:val="font31"/>
    <w:basedOn w:val="25"/>
    <w:autoRedefine/>
    <w:qFormat/>
    <w:uiPriority w:val="0"/>
    <w:rPr>
      <w:rFonts w:hint="eastAsia" w:ascii="宋体" w:hAnsi="宋体" w:eastAsia="宋体" w:cs="宋体"/>
      <w:color w:val="000000"/>
      <w:sz w:val="32"/>
      <w:szCs w:val="32"/>
      <w:u w:val="none"/>
    </w:rPr>
  </w:style>
  <w:style w:type="character" w:customStyle="1" w:styleId="45">
    <w:name w:val="font01"/>
    <w:basedOn w:val="25"/>
    <w:autoRedefine/>
    <w:qFormat/>
    <w:uiPriority w:val="0"/>
    <w:rPr>
      <w:rFonts w:hint="default" w:ascii="Times New Roman" w:hAnsi="Times New Roman" w:cs="Times New Roman"/>
      <w:color w:val="000000"/>
      <w:sz w:val="32"/>
      <w:szCs w:val="32"/>
      <w:u w:val="none"/>
    </w:rPr>
  </w:style>
  <w:style w:type="paragraph" w:customStyle="1" w:styleId="46">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准   正文"/>
    <w:basedOn w:val="12"/>
    <w:autoRedefine/>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49">
    <w:name w:val="Normal_19"/>
    <w:next w:val="5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Document Map_0"/>
    <w:basedOn w:val="49"/>
    <w:autoRedefine/>
    <w:qFormat/>
    <w:uiPriority w:val="0"/>
    <w:pPr>
      <w:shd w:val="clear" w:color="auto" w:fill="auto"/>
    </w:pPr>
    <w:rPr>
      <w:rFonts w:ascii="Times New Roman" w:hAnsi="Times New Roman" w:eastAsia="宋体"/>
    </w:rPr>
  </w:style>
  <w:style w:type="paragraph" w:customStyle="1" w:styleId="51">
    <w:name w:val="c-正文"/>
    <w:autoRedefine/>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2">
    <w:name w:val="layui-this"/>
    <w:basedOn w:val="25"/>
    <w:autoRedefine/>
    <w:qFormat/>
    <w:uiPriority w:val="0"/>
    <w:rPr>
      <w:bdr w:val="single" w:color="EEEEEE" w:sz="6" w:space="0"/>
      <w:shd w:val="clear" w:fill="FFFFFF"/>
    </w:rPr>
  </w:style>
  <w:style w:type="character" w:customStyle="1" w:styleId="53">
    <w:name w:val="first-child"/>
    <w:basedOn w:val="25"/>
    <w:autoRedefine/>
    <w:qFormat/>
    <w:uiPriority w:val="0"/>
  </w:style>
  <w:style w:type="character" w:customStyle="1" w:styleId="54">
    <w:name w:val="font11"/>
    <w:basedOn w:val="25"/>
    <w:autoRedefine/>
    <w:qFormat/>
    <w:uiPriority w:val="0"/>
    <w:rPr>
      <w:rFonts w:hint="eastAsia" w:ascii="宋体" w:hAnsi="宋体" w:eastAsia="宋体" w:cs="宋体"/>
      <w:color w:val="000000"/>
      <w:sz w:val="28"/>
      <w:szCs w:val="28"/>
      <w:u w:val="none"/>
    </w:rPr>
  </w:style>
  <w:style w:type="character" w:customStyle="1" w:styleId="55">
    <w:name w:val="font21"/>
    <w:basedOn w:val="25"/>
    <w:autoRedefine/>
    <w:qFormat/>
    <w:uiPriority w:val="0"/>
    <w:rPr>
      <w:rFonts w:hint="eastAsia" w:ascii="宋体" w:hAnsi="宋体" w:eastAsia="宋体" w:cs="宋体"/>
      <w:color w:val="000000"/>
      <w:sz w:val="21"/>
      <w:szCs w:val="21"/>
      <w:u w:val="none"/>
    </w:rPr>
  </w:style>
  <w:style w:type="character" w:customStyle="1" w:styleId="56">
    <w:name w:val="font61"/>
    <w:basedOn w:val="25"/>
    <w:autoRedefine/>
    <w:qFormat/>
    <w:uiPriority w:val="0"/>
    <w:rPr>
      <w:rFonts w:hint="default" w:ascii="Arial" w:hAnsi="Arial" w:cs="Arial"/>
      <w:b/>
      <w:bCs/>
      <w:color w:val="000000"/>
      <w:sz w:val="21"/>
      <w:szCs w:val="21"/>
      <w:u w:val="none"/>
    </w:rPr>
  </w:style>
  <w:style w:type="character" w:customStyle="1" w:styleId="57">
    <w:name w:val="font41"/>
    <w:basedOn w:val="25"/>
    <w:autoRedefine/>
    <w:qFormat/>
    <w:uiPriority w:val="0"/>
    <w:rPr>
      <w:rFonts w:hint="eastAsia" w:ascii="宋体" w:hAnsi="宋体" w:eastAsia="宋体" w:cs="宋体"/>
      <w:b/>
      <w:bCs/>
      <w:color w:val="000000"/>
      <w:sz w:val="21"/>
      <w:szCs w:val="21"/>
      <w:u w:val="none"/>
    </w:rPr>
  </w:style>
  <w:style w:type="paragraph" w:customStyle="1" w:styleId="58">
    <w:name w:val="首行缩进"/>
    <w:basedOn w:val="1"/>
    <w:autoRedefine/>
    <w:qFormat/>
    <w:uiPriority w:val="0"/>
    <w:pPr>
      <w:ind w:firstLine="480" w:firstLineChars="200"/>
    </w:pPr>
    <w:rPr>
      <w:lang w:val="zh-CN"/>
    </w:rPr>
  </w:style>
  <w:style w:type="character" w:customStyle="1" w:styleId="59">
    <w:name w:val="first-child1"/>
    <w:basedOn w:val="2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36966</Words>
  <Characters>41009</Characters>
  <Lines>1</Lines>
  <Paragraphs>1</Paragraphs>
  <TotalTime>0</TotalTime>
  <ScaleCrop>false</ScaleCrop>
  <LinksUpToDate>false</LinksUpToDate>
  <CharactersWithSpaces>43558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dykx</dc:creator>
  <cp:lastModifiedBy>凝星丶</cp:lastModifiedBy>
  <cp:lastPrinted>2024-03-07T03:13:00Z</cp:lastPrinted>
  <dcterms:modified xsi:type="dcterms:W3CDTF">2024-07-10T02:19:43Z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600FD7B863CF4378A3502CF492317516_13</vt:lpwstr>
  </property>
</Properties>
</file>